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69E" w:rsidRPr="00A9511F" w:rsidRDefault="00E6179D" w:rsidP="00E6179D">
      <w:pPr>
        <w:spacing w:after="0" w:line="360" w:lineRule="auto"/>
        <w:jc w:val="both"/>
        <w:rPr>
          <w:rFonts w:ascii="Palatino Linotype" w:hAnsi="Palatino Linotype" w:cs="Arial"/>
          <w:b/>
          <w:sz w:val="24"/>
          <w:szCs w:val="24"/>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E25727" w:rsidRPr="00A9511F">
        <w:rPr>
          <w:rFonts w:ascii="Palatino Linotype" w:hAnsi="Palatino Linotype" w:cs="Arial"/>
          <w:b/>
          <w:sz w:val="24"/>
          <w:szCs w:val="24"/>
        </w:rPr>
        <w:t>0</w:t>
      </w:r>
      <w:r w:rsidR="00B16142">
        <w:rPr>
          <w:rFonts w:ascii="Palatino Linotype" w:hAnsi="Palatino Linotype" w:cs="Arial"/>
          <w:b/>
          <w:sz w:val="24"/>
          <w:szCs w:val="24"/>
        </w:rPr>
        <w:t>2</w:t>
      </w:r>
      <w:r w:rsidR="00955A85">
        <w:rPr>
          <w:rFonts w:ascii="Palatino Linotype" w:hAnsi="Palatino Linotype" w:cs="Arial"/>
          <w:b/>
          <w:sz w:val="24"/>
          <w:szCs w:val="24"/>
        </w:rPr>
        <w:t>53</w:t>
      </w:r>
      <w:r w:rsidR="0092797F">
        <w:rPr>
          <w:rFonts w:ascii="Palatino Linotype" w:hAnsi="Palatino Linotype" w:cs="Arial"/>
          <w:b/>
          <w:sz w:val="24"/>
          <w:szCs w:val="24"/>
        </w:rPr>
        <w:t>2</w:t>
      </w:r>
      <w:r w:rsidR="000D079B" w:rsidRPr="00A9511F">
        <w:rPr>
          <w:rFonts w:ascii="Palatino Linotype" w:hAnsi="Palatino Linotype" w:cs="Arial"/>
          <w:b/>
          <w:sz w:val="24"/>
          <w:szCs w:val="24"/>
        </w:rPr>
        <w:t>/INFOEM/IP/RR/2019.</w:t>
      </w:r>
    </w:p>
    <w:p w:rsidR="007648FD" w:rsidRDefault="007648FD"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55A85" w:rsidRPr="00955A85" w:rsidRDefault="00E6179D">
          <w:pPr>
            <w:pStyle w:val="TDC1"/>
            <w:rPr>
              <w:rFonts w:asciiTheme="minorHAnsi" w:eastAsiaTheme="minorEastAsia" w:hAnsiTheme="minorHAnsi"/>
              <w:b w:val="0"/>
              <w:sz w:val="24"/>
              <w:szCs w:val="24"/>
              <w:lang w:eastAsia="es-MX"/>
            </w:rPr>
          </w:pPr>
          <w:r w:rsidRPr="004D6775">
            <w:rPr>
              <w:sz w:val="24"/>
              <w:szCs w:val="24"/>
            </w:rPr>
            <w:fldChar w:fldCharType="begin"/>
          </w:r>
          <w:r w:rsidRPr="004D6775">
            <w:rPr>
              <w:sz w:val="24"/>
              <w:szCs w:val="24"/>
            </w:rPr>
            <w:instrText xml:space="preserve"> TOC \o "1-3" \h \z \u </w:instrText>
          </w:r>
          <w:r w:rsidRPr="004D6775">
            <w:rPr>
              <w:sz w:val="24"/>
              <w:szCs w:val="24"/>
            </w:rPr>
            <w:fldChar w:fldCharType="separate"/>
          </w:r>
          <w:hyperlink w:anchor="_Toc13078769" w:history="1">
            <w:r w:rsidR="00955A85" w:rsidRPr="00955A85">
              <w:rPr>
                <w:rStyle w:val="Hipervnculo"/>
                <w:rFonts w:eastAsia="Times New Roman"/>
                <w:sz w:val="24"/>
                <w:szCs w:val="24"/>
              </w:rPr>
              <w:t>I.</w:t>
            </w:r>
            <w:r w:rsidR="00955A85" w:rsidRPr="00955A85">
              <w:rPr>
                <w:rFonts w:asciiTheme="minorHAnsi" w:eastAsiaTheme="minorEastAsia" w:hAnsiTheme="minorHAnsi"/>
                <w:b w:val="0"/>
                <w:sz w:val="24"/>
                <w:szCs w:val="24"/>
                <w:lang w:eastAsia="es-MX"/>
              </w:rPr>
              <w:tab/>
            </w:r>
            <w:r w:rsidR="00955A85" w:rsidRPr="00955A85">
              <w:rPr>
                <w:rStyle w:val="Hipervnculo"/>
                <w:rFonts w:eastAsia="Times New Roman"/>
                <w:sz w:val="24"/>
                <w:szCs w:val="24"/>
              </w:rPr>
              <w:t>Consideraciones Generales</w:t>
            </w:r>
            <w:r w:rsidR="00955A85" w:rsidRPr="00955A85">
              <w:rPr>
                <w:webHidden/>
                <w:sz w:val="24"/>
                <w:szCs w:val="24"/>
              </w:rPr>
              <w:tab/>
            </w:r>
            <w:r w:rsidR="00955A85" w:rsidRPr="00955A85">
              <w:rPr>
                <w:webHidden/>
                <w:sz w:val="24"/>
                <w:szCs w:val="24"/>
              </w:rPr>
              <w:fldChar w:fldCharType="begin"/>
            </w:r>
            <w:r w:rsidR="00955A85" w:rsidRPr="00955A85">
              <w:rPr>
                <w:webHidden/>
                <w:sz w:val="24"/>
                <w:szCs w:val="24"/>
              </w:rPr>
              <w:instrText xml:space="preserve"> PAGEREF _Toc13078769 \h </w:instrText>
            </w:r>
            <w:r w:rsidR="00955A85" w:rsidRPr="00955A85">
              <w:rPr>
                <w:webHidden/>
                <w:sz w:val="24"/>
                <w:szCs w:val="24"/>
              </w:rPr>
            </w:r>
            <w:r w:rsidR="00955A85" w:rsidRPr="00955A85">
              <w:rPr>
                <w:webHidden/>
                <w:sz w:val="24"/>
                <w:szCs w:val="24"/>
              </w:rPr>
              <w:fldChar w:fldCharType="separate"/>
            </w:r>
            <w:r w:rsidR="00955A85" w:rsidRPr="00955A85">
              <w:rPr>
                <w:webHidden/>
                <w:sz w:val="24"/>
                <w:szCs w:val="24"/>
              </w:rPr>
              <w:t>1</w:t>
            </w:r>
            <w:r w:rsidR="00955A85" w:rsidRPr="00955A85">
              <w:rPr>
                <w:webHidden/>
                <w:sz w:val="24"/>
                <w:szCs w:val="24"/>
              </w:rPr>
              <w:fldChar w:fldCharType="end"/>
            </w:r>
          </w:hyperlink>
        </w:p>
        <w:p w:rsidR="00955A85" w:rsidRPr="00955A85" w:rsidRDefault="00A4400D">
          <w:pPr>
            <w:pStyle w:val="TDC1"/>
            <w:rPr>
              <w:rFonts w:asciiTheme="minorHAnsi" w:eastAsiaTheme="minorEastAsia" w:hAnsiTheme="minorHAnsi"/>
              <w:b w:val="0"/>
              <w:sz w:val="24"/>
              <w:szCs w:val="24"/>
              <w:lang w:eastAsia="es-MX"/>
            </w:rPr>
          </w:pPr>
          <w:hyperlink w:anchor="_Toc13078770" w:history="1">
            <w:r w:rsidR="00955A85" w:rsidRPr="00955A85">
              <w:rPr>
                <w:rStyle w:val="Hipervnculo"/>
                <w:rFonts w:eastAsia="Calibri"/>
                <w:sz w:val="24"/>
                <w:szCs w:val="24"/>
                <w:lang w:val="es-ES"/>
              </w:rPr>
              <w:t>II.</w:t>
            </w:r>
            <w:r w:rsidR="00955A85" w:rsidRPr="00955A85">
              <w:rPr>
                <w:rFonts w:asciiTheme="minorHAnsi" w:eastAsiaTheme="minorEastAsia" w:hAnsiTheme="minorHAnsi"/>
                <w:b w:val="0"/>
                <w:sz w:val="24"/>
                <w:szCs w:val="24"/>
                <w:lang w:eastAsia="es-MX"/>
              </w:rPr>
              <w:tab/>
            </w:r>
            <w:r w:rsidR="00955A85" w:rsidRPr="00955A85">
              <w:rPr>
                <w:rStyle w:val="Hipervnculo"/>
                <w:rFonts w:eastAsia="Calibri"/>
                <w:sz w:val="24"/>
                <w:szCs w:val="24"/>
                <w:lang w:val="es-ES"/>
              </w:rPr>
              <w:t>De los requerimientos planteados en el recurso de revisión.</w:t>
            </w:r>
            <w:r w:rsidR="00955A85" w:rsidRPr="00955A85">
              <w:rPr>
                <w:webHidden/>
                <w:sz w:val="24"/>
                <w:szCs w:val="24"/>
              </w:rPr>
              <w:tab/>
            </w:r>
            <w:r w:rsidR="00955A85" w:rsidRPr="00955A85">
              <w:rPr>
                <w:webHidden/>
                <w:sz w:val="24"/>
                <w:szCs w:val="24"/>
              </w:rPr>
              <w:fldChar w:fldCharType="begin"/>
            </w:r>
            <w:r w:rsidR="00955A85" w:rsidRPr="00955A85">
              <w:rPr>
                <w:webHidden/>
                <w:sz w:val="24"/>
                <w:szCs w:val="24"/>
              </w:rPr>
              <w:instrText xml:space="preserve"> PAGEREF _Toc13078770 \h </w:instrText>
            </w:r>
            <w:r w:rsidR="00955A85" w:rsidRPr="00955A85">
              <w:rPr>
                <w:webHidden/>
                <w:sz w:val="24"/>
                <w:szCs w:val="24"/>
              </w:rPr>
            </w:r>
            <w:r w:rsidR="00955A85" w:rsidRPr="00955A85">
              <w:rPr>
                <w:webHidden/>
                <w:sz w:val="24"/>
                <w:szCs w:val="24"/>
              </w:rPr>
              <w:fldChar w:fldCharType="separate"/>
            </w:r>
            <w:r w:rsidR="00955A85" w:rsidRPr="00955A85">
              <w:rPr>
                <w:webHidden/>
                <w:sz w:val="24"/>
                <w:szCs w:val="24"/>
              </w:rPr>
              <w:t>2</w:t>
            </w:r>
            <w:r w:rsidR="00955A85" w:rsidRPr="00955A85">
              <w:rPr>
                <w:webHidden/>
                <w:sz w:val="24"/>
                <w:szCs w:val="24"/>
              </w:rPr>
              <w:fldChar w:fldCharType="end"/>
            </w:r>
          </w:hyperlink>
        </w:p>
        <w:p w:rsidR="00955A85" w:rsidRPr="00955A85" w:rsidRDefault="00A4400D">
          <w:pPr>
            <w:pStyle w:val="TDC2"/>
            <w:rPr>
              <w:rFonts w:asciiTheme="minorHAnsi" w:eastAsiaTheme="minorEastAsia" w:hAnsiTheme="minorHAnsi"/>
              <w:b w:val="0"/>
              <w:lang w:eastAsia="es-MX"/>
            </w:rPr>
          </w:pPr>
          <w:hyperlink w:anchor="_Toc13078771" w:history="1">
            <w:r w:rsidR="00955A85" w:rsidRPr="00955A85">
              <w:rPr>
                <w:rStyle w:val="Hipervnculo"/>
              </w:rPr>
              <w:t>III. Del Derecho de Acceso a la información pública y el deber de motivar.</w:t>
            </w:r>
            <w:r w:rsidR="00955A85" w:rsidRPr="00955A85">
              <w:rPr>
                <w:webHidden/>
              </w:rPr>
              <w:tab/>
            </w:r>
            <w:r w:rsidR="00955A85" w:rsidRPr="00955A85">
              <w:rPr>
                <w:webHidden/>
              </w:rPr>
              <w:fldChar w:fldCharType="begin"/>
            </w:r>
            <w:r w:rsidR="00955A85" w:rsidRPr="00955A85">
              <w:rPr>
                <w:webHidden/>
              </w:rPr>
              <w:instrText xml:space="preserve"> PAGEREF _Toc13078771 \h </w:instrText>
            </w:r>
            <w:r w:rsidR="00955A85" w:rsidRPr="00955A85">
              <w:rPr>
                <w:webHidden/>
              </w:rPr>
            </w:r>
            <w:r w:rsidR="00955A85" w:rsidRPr="00955A85">
              <w:rPr>
                <w:webHidden/>
              </w:rPr>
              <w:fldChar w:fldCharType="separate"/>
            </w:r>
            <w:r w:rsidR="00955A85" w:rsidRPr="00955A85">
              <w:rPr>
                <w:webHidden/>
              </w:rPr>
              <w:t>5</w:t>
            </w:r>
            <w:r w:rsidR="00955A85" w:rsidRPr="00955A85">
              <w:rPr>
                <w:webHidden/>
              </w:rPr>
              <w:fldChar w:fldCharType="end"/>
            </w:r>
          </w:hyperlink>
        </w:p>
        <w:p w:rsidR="00955A85" w:rsidRPr="00955A85" w:rsidRDefault="00A4400D" w:rsidP="00955A85">
          <w:pPr>
            <w:pStyle w:val="TDC1"/>
            <w:rPr>
              <w:rFonts w:asciiTheme="minorHAnsi" w:eastAsiaTheme="minorEastAsia" w:hAnsiTheme="minorHAnsi"/>
              <w:b w:val="0"/>
              <w:sz w:val="24"/>
              <w:szCs w:val="24"/>
              <w:lang w:eastAsia="es-MX"/>
            </w:rPr>
          </w:pPr>
          <w:hyperlink w:anchor="_Toc13078772" w:history="1">
            <w:r w:rsidR="00955A85" w:rsidRPr="00955A85">
              <w:rPr>
                <w:rStyle w:val="Hipervnculo"/>
                <w:rFonts w:eastAsia="Calibri"/>
                <w:sz w:val="24"/>
                <w:szCs w:val="24"/>
              </w:rPr>
              <w:t>IV. Del Pronunciamiento simple</w:t>
            </w:r>
            <w:r w:rsidR="00955A85" w:rsidRPr="00955A85">
              <w:rPr>
                <w:webHidden/>
                <w:sz w:val="24"/>
                <w:szCs w:val="24"/>
              </w:rPr>
              <w:tab/>
            </w:r>
            <w:r w:rsidR="00955A85" w:rsidRPr="00955A85">
              <w:rPr>
                <w:webHidden/>
                <w:sz w:val="24"/>
                <w:szCs w:val="24"/>
              </w:rPr>
              <w:fldChar w:fldCharType="begin"/>
            </w:r>
            <w:r w:rsidR="00955A85" w:rsidRPr="00955A85">
              <w:rPr>
                <w:webHidden/>
                <w:sz w:val="24"/>
                <w:szCs w:val="24"/>
              </w:rPr>
              <w:instrText xml:space="preserve"> PAGEREF _Toc13078772 \h </w:instrText>
            </w:r>
            <w:r w:rsidR="00955A85" w:rsidRPr="00955A85">
              <w:rPr>
                <w:webHidden/>
                <w:sz w:val="24"/>
                <w:szCs w:val="24"/>
              </w:rPr>
            </w:r>
            <w:r w:rsidR="00955A85" w:rsidRPr="00955A85">
              <w:rPr>
                <w:webHidden/>
                <w:sz w:val="24"/>
                <w:szCs w:val="24"/>
              </w:rPr>
              <w:fldChar w:fldCharType="separate"/>
            </w:r>
            <w:r w:rsidR="00955A85" w:rsidRPr="00955A85">
              <w:rPr>
                <w:webHidden/>
                <w:sz w:val="24"/>
                <w:szCs w:val="24"/>
              </w:rPr>
              <w:t>10</w:t>
            </w:r>
            <w:r w:rsidR="00955A85" w:rsidRPr="00955A85">
              <w:rPr>
                <w:webHidden/>
                <w:sz w:val="24"/>
                <w:szCs w:val="24"/>
              </w:rPr>
              <w:fldChar w:fldCharType="end"/>
            </w:r>
          </w:hyperlink>
        </w:p>
        <w:p w:rsidR="00955A85" w:rsidRPr="00955A85" w:rsidRDefault="00A4400D">
          <w:pPr>
            <w:pStyle w:val="TDC1"/>
            <w:rPr>
              <w:rFonts w:asciiTheme="minorHAnsi" w:eastAsiaTheme="minorEastAsia" w:hAnsiTheme="minorHAnsi"/>
              <w:b w:val="0"/>
              <w:sz w:val="24"/>
              <w:szCs w:val="24"/>
              <w:lang w:eastAsia="es-MX"/>
            </w:rPr>
          </w:pPr>
          <w:hyperlink w:anchor="_Toc13078774" w:history="1">
            <w:r w:rsidR="00955A85" w:rsidRPr="00955A85">
              <w:rPr>
                <w:rStyle w:val="Hipervnculo"/>
                <w:rFonts w:eastAsia="Calibri"/>
                <w:sz w:val="24"/>
                <w:szCs w:val="24"/>
              </w:rPr>
              <w:t>V. Conclusión.</w:t>
            </w:r>
            <w:r w:rsidR="00955A85" w:rsidRPr="00955A85">
              <w:rPr>
                <w:webHidden/>
                <w:sz w:val="24"/>
                <w:szCs w:val="24"/>
              </w:rPr>
              <w:tab/>
            </w:r>
            <w:r w:rsidR="00955A85" w:rsidRPr="00955A85">
              <w:rPr>
                <w:webHidden/>
                <w:sz w:val="24"/>
                <w:szCs w:val="24"/>
              </w:rPr>
              <w:fldChar w:fldCharType="begin"/>
            </w:r>
            <w:r w:rsidR="00955A85" w:rsidRPr="00955A85">
              <w:rPr>
                <w:webHidden/>
                <w:sz w:val="24"/>
                <w:szCs w:val="24"/>
              </w:rPr>
              <w:instrText xml:space="preserve"> PAGEREF _Toc13078774 \h </w:instrText>
            </w:r>
            <w:r w:rsidR="00955A85" w:rsidRPr="00955A85">
              <w:rPr>
                <w:webHidden/>
                <w:sz w:val="24"/>
                <w:szCs w:val="24"/>
              </w:rPr>
            </w:r>
            <w:r w:rsidR="00955A85" w:rsidRPr="00955A85">
              <w:rPr>
                <w:webHidden/>
                <w:sz w:val="24"/>
                <w:szCs w:val="24"/>
              </w:rPr>
              <w:fldChar w:fldCharType="separate"/>
            </w:r>
            <w:r w:rsidR="00955A85" w:rsidRPr="00955A85">
              <w:rPr>
                <w:webHidden/>
                <w:sz w:val="24"/>
                <w:szCs w:val="24"/>
              </w:rPr>
              <w:t>29</w:t>
            </w:r>
            <w:r w:rsidR="00955A85" w:rsidRPr="00955A85">
              <w:rPr>
                <w:webHidden/>
                <w:sz w:val="24"/>
                <w:szCs w:val="24"/>
              </w:rPr>
              <w:fldChar w:fldCharType="end"/>
            </w:r>
          </w:hyperlink>
        </w:p>
        <w:p w:rsidR="00E6179D" w:rsidRPr="004D6775" w:rsidRDefault="00E6179D" w:rsidP="00B73B30">
          <w:pPr>
            <w:spacing w:line="360" w:lineRule="auto"/>
            <w:rPr>
              <w:rFonts w:ascii="Palatino Linotype" w:hAnsi="Palatino Linotype"/>
              <w:b/>
              <w:sz w:val="24"/>
              <w:szCs w:val="24"/>
            </w:rPr>
          </w:pPr>
          <w:r w:rsidRPr="004D6775">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3078769"/>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E25727" w:rsidRDefault="00E6179D" w:rsidP="00EF3EA6">
      <w:pPr>
        <w:spacing w:after="0" w:line="360" w:lineRule="auto"/>
        <w:jc w:val="both"/>
        <w:rPr>
          <w:rFonts w:ascii="Palatino Linotype" w:hAnsi="Palatino Linotype" w:cs="Arial"/>
          <w:b/>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DD4DDE">
        <w:rPr>
          <w:rFonts w:ascii="Palatino Linotype" w:eastAsia="Calibri" w:hAnsi="Palatino Linotype" w:cs="Arial"/>
          <w:sz w:val="24"/>
          <w:szCs w:val="24"/>
        </w:rPr>
        <w:t>Vigésima</w:t>
      </w:r>
      <w:r w:rsidR="001E6434">
        <w:rPr>
          <w:rFonts w:ascii="Palatino Linotype" w:eastAsia="Calibri" w:hAnsi="Palatino Linotype" w:cs="Arial"/>
          <w:sz w:val="24"/>
          <w:szCs w:val="24"/>
        </w:rPr>
        <w:t xml:space="preserve"> </w:t>
      </w:r>
      <w:r w:rsidR="00DE2781">
        <w:rPr>
          <w:rFonts w:ascii="Palatino Linotype" w:eastAsia="Calibri" w:hAnsi="Palatino Linotype" w:cs="Arial"/>
          <w:sz w:val="24"/>
          <w:szCs w:val="24"/>
        </w:rPr>
        <w:t xml:space="preserve">Quinta </w:t>
      </w:r>
      <w:r w:rsidRPr="009F02EB">
        <w:rPr>
          <w:rFonts w:ascii="Palatino Linotype" w:eastAsia="Calibri" w:hAnsi="Palatino Linotype" w:cs="Arial"/>
          <w:sz w:val="24"/>
          <w:szCs w:val="24"/>
        </w:rPr>
        <w:t xml:space="preserve">Sesión Ordinaria celebrada el día </w:t>
      </w:r>
      <w:r w:rsidR="00DE2781">
        <w:rPr>
          <w:rFonts w:ascii="Palatino Linotype" w:eastAsia="Calibri" w:hAnsi="Palatino Linotype" w:cs="Arial"/>
          <w:sz w:val="24"/>
          <w:szCs w:val="24"/>
        </w:rPr>
        <w:t xml:space="preserve">tres </w:t>
      </w:r>
      <w:r w:rsidRPr="009F02EB">
        <w:rPr>
          <w:rFonts w:ascii="Palatino Linotype" w:eastAsia="Calibri" w:hAnsi="Palatino Linotype" w:cs="Arial"/>
          <w:sz w:val="24"/>
          <w:szCs w:val="24"/>
        </w:rPr>
        <w:t xml:space="preserve"> (</w:t>
      </w:r>
      <w:r w:rsidR="00DE2781">
        <w:rPr>
          <w:rFonts w:ascii="Palatino Linotype" w:eastAsia="Calibri" w:hAnsi="Palatino Linotype" w:cs="Arial"/>
          <w:sz w:val="24"/>
          <w:szCs w:val="24"/>
        </w:rPr>
        <w:t>03</w:t>
      </w:r>
      <w:r w:rsidRPr="009F02EB">
        <w:rPr>
          <w:rFonts w:ascii="Palatino Linotype" w:eastAsia="Calibri" w:hAnsi="Palatino Linotype" w:cs="Arial"/>
          <w:sz w:val="24"/>
          <w:szCs w:val="24"/>
        </w:rPr>
        <w:t xml:space="preserve">) de </w:t>
      </w:r>
      <w:r w:rsidR="00DE2781">
        <w:rPr>
          <w:rFonts w:ascii="Palatino Linotype" w:eastAsia="Calibri" w:hAnsi="Palatino Linotype" w:cs="Arial"/>
          <w:sz w:val="24"/>
          <w:szCs w:val="24"/>
        </w:rPr>
        <w:t>jul</w:t>
      </w:r>
      <w:r w:rsidR="001E6434">
        <w:rPr>
          <w:rFonts w:ascii="Palatino Linotype" w:eastAsia="Calibri" w:hAnsi="Palatino Linotype" w:cs="Arial"/>
          <w:sz w:val="24"/>
          <w:szCs w:val="24"/>
        </w:rPr>
        <w:t>io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lastRenderedPageBreak/>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2F4918">
        <w:rPr>
          <w:rFonts w:ascii="Palatino Linotype" w:eastAsia="Calibri" w:hAnsi="Palatino Linotype" w:cs="Arial"/>
          <w:sz w:val="24"/>
          <w:szCs w:val="24"/>
        </w:rPr>
        <w:t xml:space="preserve"> </w:t>
      </w:r>
      <w:r w:rsidR="00472C78" w:rsidRPr="00225470">
        <w:rPr>
          <w:rFonts w:ascii="Palatino Linotype" w:eastAsia="Calibri" w:hAnsi="Palatino Linotype" w:cs="Arial"/>
          <w:sz w:val="24"/>
          <w:szCs w:val="24"/>
        </w:rPr>
        <w:t>de</w:t>
      </w:r>
      <w:r w:rsidR="00A66845">
        <w:rPr>
          <w:rFonts w:ascii="Palatino Linotype" w:eastAsia="Calibri" w:hAnsi="Palatino Linotype" w:cs="Arial"/>
          <w:sz w:val="24"/>
          <w:szCs w:val="24"/>
        </w:rPr>
        <w:t>l</w:t>
      </w:r>
      <w:r w:rsidR="00955A85" w:rsidRPr="00955A85">
        <w:rPr>
          <w:rFonts w:ascii="Palatino Linotype" w:hAnsi="Palatino Linotype" w:cs="Arial"/>
          <w:b/>
          <w:lang w:val="es-ES"/>
        </w:rPr>
        <w:t xml:space="preserve"> </w:t>
      </w:r>
      <w:r w:rsidR="00955A85" w:rsidRPr="00955A85">
        <w:rPr>
          <w:rFonts w:ascii="Palatino Linotype" w:hAnsi="Palatino Linotype" w:cs="Arial"/>
          <w:b/>
          <w:sz w:val="24"/>
          <w:szCs w:val="24"/>
          <w:lang w:val="es-ES"/>
        </w:rPr>
        <w:t>Ayuntamiento de Juchitepec</w:t>
      </w:r>
      <w:r w:rsidR="0092797F" w:rsidRPr="00AA0A24">
        <w:rPr>
          <w:rFonts w:ascii="Palatino Linotype" w:hAnsi="Palatino Linotype"/>
        </w:rPr>
        <w:t>,</w:t>
      </w:r>
      <w:r w:rsidR="0092797F">
        <w:rPr>
          <w:rFonts w:ascii="Palatino Linotype" w:hAnsi="Palatino Linotype"/>
        </w:rPr>
        <w:t xml:space="preserve"> </w:t>
      </w:r>
      <w:r w:rsidRPr="008049C8">
        <w:rPr>
          <w:rFonts w:ascii="Palatino Linotype" w:eastAsia="Calibri" w:hAnsi="Palatino Linotype" w:cs="Arial"/>
          <w:sz w:val="24"/>
          <w:szCs w:val="24"/>
        </w:rPr>
        <w:t>pr</w:t>
      </w:r>
      <w:r w:rsidRPr="009F02EB">
        <w:rPr>
          <w:rFonts w:ascii="Palatino Linotype" w:eastAsia="Calibri" w:hAnsi="Palatino Linotype" w:cs="Arial"/>
          <w:sz w:val="24"/>
          <w:szCs w:val="24"/>
        </w:rPr>
        <w:t>ocedimiento que le fue asignado el número de expediente</w:t>
      </w:r>
      <w:r w:rsidR="005D53F2">
        <w:rPr>
          <w:rFonts w:ascii="Palatino Linotype" w:eastAsia="Calibri" w:hAnsi="Palatino Linotype" w:cs="Arial"/>
          <w:sz w:val="24"/>
          <w:szCs w:val="24"/>
        </w:rPr>
        <w:t xml:space="preserve"> </w:t>
      </w:r>
      <w:r w:rsidR="00DB39B5" w:rsidRPr="009F02EB">
        <w:rPr>
          <w:rFonts w:ascii="Palatino Linotype" w:eastAsia="Calibri" w:hAnsi="Palatino Linotype" w:cs="Arial"/>
          <w:sz w:val="24"/>
          <w:szCs w:val="24"/>
        </w:rPr>
        <w:t xml:space="preserve"> </w:t>
      </w:r>
      <w:r w:rsidR="00E25727" w:rsidRPr="003E7DCC">
        <w:rPr>
          <w:rFonts w:ascii="Palatino Linotype" w:hAnsi="Palatino Linotype" w:cs="Arial"/>
          <w:b/>
          <w:sz w:val="24"/>
          <w:szCs w:val="24"/>
        </w:rPr>
        <w:t>0</w:t>
      </w:r>
      <w:r w:rsidR="00B16142">
        <w:rPr>
          <w:rFonts w:ascii="Palatino Linotype" w:hAnsi="Palatino Linotype" w:cs="Arial"/>
          <w:b/>
          <w:sz w:val="24"/>
          <w:szCs w:val="24"/>
        </w:rPr>
        <w:t>2</w:t>
      </w:r>
      <w:r w:rsidR="00955A85">
        <w:rPr>
          <w:rFonts w:ascii="Palatino Linotype" w:hAnsi="Palatino Linotype" w:cs="Arial"/>
          <w:b/>
          <w:sz w:val="24"/>
          <w:szCs w:val="24"/>
        </w:rPr>
        <w:t>53</w:t>
      </w:r>
      <w:r w:rsidR="0092797F">
        <w:rPr>
          <w:rFonts w:ascii="Palatino Linotype" w:hAnsi="Palatino Linotype" w:cs="Arial"/>
          <w:b/>
          <w:sz w:val="24"/>
          <w:szCs w:val="24"/>
        </w:rPr>
        <w:t>2</w:t>
      </w:r>
      <w:r w:rsidR="00DD71D7" w:rsidRPr="003E7DCC">
        <w:rPr>
          <w:rFonts w:ascii="Palatino Linotype" w:hAnsi="Palatino Linotype" w:cs="Arial"/>
          <w:b/>
          <w:sz w:val="24"/>
          <w:szCs w:val="24"/>
        </w:rPr>
        <w:t>/INFOEM/IP/RR/2019.</w:t>
      </w:r>
    </w:p>
    <w:p w:rsidR="00E6179D" w:rsidRPr="008C1CB4"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955A85">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Estando de acuerdo con la resolución formulada por el comisionado ponente, mi voto particular consiste en que lo ordenado por</w:t>
      </w:r>
      <w:r w:rsidR="006C5631">
        <w:rPr>
          <w:rFonts w:ascii="Palatino Linotype" w:eastAsia="Calibri" w:hAnsi="Palatino Linotype" w:cs="Arial"/>
          <w:sz w:val="24"/>
          <w:szCs w:val="24"/>
        </w:rPr>
        <w:t xml:space="preserve"> este Pleno, no solo basta con </w:t>
      </w:r>
      <w:r w:rsidRPr="00E63C30">
        <w:rPr>
          <w:rFonts w:ascii="Palatino Linotype" w:eastAsia="Calibri" w:hAnsi="Palatino Linotype" w:cs="Arial"/>
          <w:sz w:val="24"/>
          <w:szCs w:val="24"/>
        </w:rPr>
        <w:t xml:space="preserve">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Default="00E6179D" w:rsidP="00B41044">
      <w:pPr>
        <w:pStyle w:val="Ttulo1"/>
        <w:numPr>
          <w:ilvl w:val="0"/>
          <w:numId w:val="2"/>
        </w:numPr>
        <w:ind w:left="0" w:firstLine="0"/>
        <w:rPr>
          <w:rFonts w:eastAsia="Calibri"/>
          <w:color w:val="auto"/>
          <w:szCs w:val="24"/>
          <w:lang w:val="es-ES"/>
        </w:rPr>
      </w:pPr>
      <w:bookmarkStart w:id="2" w:name="_Toc13078770"/>
      <w:r w:rsidRPr="00427B79">
        <w:rPr>
          <w:rFonts w:eastAsia="Calibri"/>
          <w:color w:val="auto"/>
          <w:szCs w:val="24"/>
          <w:lang w:val="es-ES"/>
        </w:rPr>
        <w:t>De los requerimientos planteados en el recurso de revisión.</w:t>
      </w:r>
      <w:bookmarkEnd w:id="2"/>
    </w:p>
    <w:p w:rsidR="00821FE4" w:rsidRPr="00821FE4" w:rsidRDefault="00821FE4" w:rsidP="00821FE4">
      <w:pPr>
        <w:rPr>
          <w:lang w:val="es-ES"/>
        </w:rPr>
      </w:pPr>
    </w:p>
    <w:p w:rsidR="003C0D78" w:rsidRDefault="00E6179D" w:rsidP="008049C8">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ejercicio del derecho constitucional que 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E51FC1">
        <w:rPr>
          <w:rFonts w:ascii="Palatino Linotype" w:eastAsia="Calibri" w:hAnsi="Palatino Linotype" w:cs="Times New Roman"/>
          <w:sz w:val="24"/>
          <w:szCs w:val="24"/>
        </w:rPr>
        <w:t xml:space="preserve"> el</w:t>
      </w:r>
      <w:r w:rsidR="00955A85" w:rsidRPr="00955A85">
        <w:rPr>
          <w:rFonts w:ascii="Palatino Linotype" w:hAnsi="Palatino Linotype" w:cs="Arial"/>
          <w:b/>
          <w:lang w:val="es-ES"/>
        </w:rPr>
        <w:t xml:space="preserve"> </w:t>
      </w:r>
      <w:r w:rsidR="00955A85" w:rsidRPr="00955A85">
        <w:rPr>
          <w:rFonts w:ascii="Palatino Linotype" w:hAnsi="Palatino Linotype" w:cs="Arial"/>
          <w:b/>
          <w:sz w:val="24"/>
          <w:szCs w:val="24"/>
          <w:lang w:val="es-ES"/>
        </w:rPr>
        <w:t>Ayuntamiento de Juchitepec</w:t>
      </w:r>
      <w:r w:rsidR="0092797F" w:rsidRPr="00955A85">
        <w:rPr>
          <w:rFonts w:ascii="Palatino Linotype" w:hAnsi="Palatino Linotype"/>
          <w:sz w:val="24"/>
          <w:szCs w:val="24"/>
        </w:rPr>
        <w:t>,</w:t>
      </w:r>
      <w:r w:rsidR="00C00466" w:rsidRPr="00955A85">
        <w:rPr>
          <w:rFonts w:ascii="Palatino Linotype" w:hAnsi="Palatino Linotype" w:cs="Arial"/>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955A85" w:rsidRDefault="00955A85" w:rsidP="00955A85">
      <w:pPr>
        <w:spacing w:after="0" w:line="240" w:lineRule="auto"/>
        <w:ind w:left="1134" w:right="902"/>
        <w:jc w:val="both"/>
        <w:rPr>
          <w:rFonts w:ascii="Palatino Linotype" w:eastAsia="Times New Roman" w:hAnsi="Palatino Linotype" w:cs="Arial"/>
          <w:i/>
          <w:lang w:val="es-ES" w:eastAsia="es-ES"/>
        </w:rPr>
      </w:pPr>
    </w:p>
    <w:p w:rsidR="00955A85" w:rsidRPr="00955A85" w:rsidRDefault="00955A85" w:rsidP="00955A85">
      <w:pPr>
        <w:spacing w:after="0" w:line="240" w:lineRule="auto"/>
        <w:ind w:left="1134" w:right="902"/>
        <w:jc w:val="both"/>
        <w:rPr>
          <w:rFonts w:ascii="Palatino Linotype" w:eastAsia="Times New Roman" w:hAnsi="Palatino Linotype" w:cs="Arial"/>
          <w:i/>
          <w:sz w:val="24"/>
          <w:szCs w:val="24"/>
          <w:lang w:val="es-ES" w:eastAsia="es-ES"/>
        </w:rPr>
      </w:pPr>
      <w:r w:rsidRPr="00955A85">
        <w:rPr>
          <w:rFonts w:ascii="Palatino Linotype" w:eastAsia="Times New Roman" w:hAnsi="Palatino Linotype" w:cs="Arial"/>
          <w:i/>
          <w:sz w:val="24"/>
          <w:szCs w:val="24"/>
          <w:lang w:val="es-ES" w:eastAsia="es-ES"/>
        </w:rPr>
        <w:t>“solicito amablemente la siguiente información: Estudio técnico, acta de cabildo, donde se determino el uso del centro de la juventud bicentenario como área de oficinas administrativas, solicito también el nombre de la empresa que esta haciendo remodelación en dicho espacio, facturas pagadas a dicha empresa, materiales utilizados y el costo total de la obra en mención, por ultimo el uso que se dará a este espacio en relación a las remodelaciones que se están realizando”. (sic)</w:t>
      </w:r>
    </w:p>
    <w:p w:rsidR="00955A85" w:rsidRPr="00955A85" w:rsidRDefault="00955A85" w:rsidP="008049C8">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8C1CB4">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D206BF">
        <w:rPr>
          <w:rFonts w:ascii="Palatino Linotype" w:eastAsia="Calibri" w:hAnsi="Palatino Linotype" w:cs="Arial"/>
          <w:sz w:val="24"/>
          <w:szCs w:val="24"/>
        </w:rPr>
        <w:t xml:space="preserve">ente obligacional por parte </w:t>
      </w:r>
      <w:r w:rsidR="003C0D78">
        <w:rPr>
          <w:rFonts w:ascii="Palatino Linotype" w:eastAsia="Calibri" w:hAnsi="Palatino Linotype" w:cs="Arial"/>
          <w:sz w:val="24"/>
          <w:szCs w:val="24"/>
        </w:rPr>
        <w:t>d</w:t>
      </w:r>
      <w:r w:rsidR="00CC6106">
        <w:rPr>
          <w:rFonts w:ascii="Palatino Linotype" w:eastAsia="Calibri" w:hAnsi="Palatino Linotype" w:cs="Arial"/>
          <w:sz w:val="24"/>
          <w:szCs w:val="24"/>
        </w:rPr>
        <w:t>e</w:t>
      </w:r>
      <w:r w:rsidR="00576880">
        <w:rPr>
          <w:rFonts w:ascii="Palatino Linotype" w:eastAsia="Calibri" w:hAnsi="Palatino Linotype" w:cs="Arial"/>
          <w:sz w:val="24"/>
          <w:szCs w:val="24"/>
        </w:rPr>
        <w:t>l</w:t>
      </w:r>
      <w:r w:rsidR="00955A85" w:rsidRPr="00955A85">
        <w:rPr>
          <w:rFonts w:ascii="Palatino Linotype" w:hAnsi="Palatino Linotype" w:cs="Arial"/>
          <w:b/>
          <w:sz w:val="24"/>
          <w:szCs w:val="24"/>
          <w:lang w:val="es-ES"/>
        </w:rPr>
        <w:t xml:space="preserve"> Ayuntamiento de Juchitepec</w:t>
      </w:r>
      <w:r w:rsidR="0092797F" w:rsidRPr="00AA0A24">
        <w:rPr>
          <w:rFonts w:ascii="Palatino Linotype" w:hAnsi="Palatino Linotype"/>
        </w:rPr>
        <w:t>,</w:t>
      </w:r>
      <w:r w:rsidR="00C00466" w:rsidRPr="00C00466">
        <w:rPr>
          <w:rFonts w:ascii="Palatino Linotype" w:hAnsi="Palatino Linotype" w:cs="Arial"/>
          <w:b/>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3E7DCC" w:rsidRPr="00955A85" w:rsidRDefault="00480F5B" w:rsidP="003E7DCC">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CA5807" w:rsidRPr="00CA5807">
        <w:rPr>
          <w:rFonts w:ascii="Palatino Linotype" w:hAnsi="Palatino Linotype" w:cs="Arial"/>
          <w:b/>
          <w:bCs/>
          <w:sz w:val="24"/>
          <w:szCs w:val="24"/>
        </w:rPr>
        <w:t xml:space="preserve"> </w:t>
      </w:r>
      <w:r w:rsidR="00CA5807">
        <w:rPr>
          <w:rFonts w:ascii="Palatino Linotype" w:hAnsi="Palatino Linotype" w:cs="Arial"/>
          <w:b/>
          <w:bCs/>
          <w:sz w:val="24"/>
          <w:szCs w:val="24"/>
        </w:rPr>
        <w:t>a</w:t>
      </w:r>
      <w:r w:rsidR="0092797F" w:rsidRPr="0092797F">
        <w:rPr>
          <w:rFonts w:ascii="Palatino Linotype" w:hAnsi="Palatino Linotype"/>
          <w:b/>
          <w:sz w:val="24"/>
          <w:szCs w:val="24"/>
        </w:rPr>
        <w:t xml:space="preserve"> </w:t>
      </w:r>
      <w:r w:rsidR="0092797F">
        <w:rPr>
          <w:rFonts w:ascii="Palatino Linotype" w:hAnsi="Palatino Linotype"/>
          <w:b/>
          <w:sz w:val="24"/>
          <w:szCs w:val="24"/>
        </w:rPr>
        <w:t>el</w:t>
      </w:r>
      <w:r w:rsidR="00955A85" w:rsidRPr="00955A85">
        <w:rPr>
          <w:rFonts w:ascii="Palatino Linotype" w:hAnsi="Palatino Linotype" w:cs="Arial"/>
          <w:b/>
          <w:sz w:val="24"/>
          <w:szCs w:val="24"/>
          <w:lang w:val="es-ES"/>
        </w:rPr>
        <w:t xml:space="preserve"> Ayuntamiento de Juchitepec</w:t>
      </w:r>
      <w:r w:rsidR="00955A85">
        <w:rPr>
          <w:rFonts w:ascii="Palatino Linotype" w:hAnsi="Palatino Linotype" w:cs="Arial"/>
          <w:b/>
          <w:sz w:val="24"/>
          <w:szCs w:val="24"/>
          <w:lang w:val="es-ES"/>
        </w:rPr>
        <w:t xml:space="preserve">, </w:t>
      </w:r>
      <w:r w:rsidR="00C00466">
        <w:rPr>
          <w:rFonts w:ascii="Palatino Linotype" w:hAnsi="Palatino Linotype" w:cs="Arial"/>
          <w:b/>
          <w:sz w:val="24"/>
          <w:szCs w:val="24"/>
        </w:rPr>
        <w:t xml:space="preserve"> </w:t>
      </w:r>
      <w:r w:rsidR="00C00466"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955A85" w:rsidRPr="00955A85">
        <w:rPr>
          <w:rFonts w:ascii="Palatino Linotype" w:hAnsi="Palatino Linotype" w:cs="Arial"/>
          <w:sz w:val="24"/>
          <w:szCs w:val="24"/>
        </w:rPr>
        <w:t>respecto de la remodelación al Centro de la Juventud Bicentenario</w:t>
      </w:r>
      <w:r w:rsidR="00436541" w:rsidRPr="00955A85">
        <w:rPr>
          <w:rFonts w:ascii="Palatino Linotype" w:hAnsi="Palatino Linotype" w:cs="Arial"/>
          <w:sz w:val="24"/>
          <w:szCs w:val="24"/>
          <w:lang w:eastAsia="es-MX"/>
        </w:rPr>
        <w:t xml:space="preserve"> de </w:t>
      </w:r>
      <w:r w:rsidR="006F081D" w:rsidRPr="00955A85">
        <w:rPr>
          <w:rFonts w:ascii="Palatino Linotype" w:hAnsi="Palatino Linotype" w:cs="Arial"/>
          <w:sz w:val="24"/>
          <w:szCs w:val="24"/>
          <w:lang w:eastAsia="es-MX"/>
        </w:rPr>
        <w:t>lo siguiente:</w:t>
      </w:r>
    </w:p>
    <w:p w:rsidR="00587A37" w:rsidRPr="00955A85" w:rsidRDefault="00587A37" w:rsidP="00587A37">
      <w:pPr>
        <w:pStyle w:val="Prrafodelista"/>
        <w:rPr>
          <w:rFonts w:ascii="Palatino Linotype" w:hAnsi="Palatino Linotype"/>
          <w:sz w:val="24"/>
          <w:szCs w:val="24"/>
        </w:rPr>
      </w:pP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lastRenderedPageBreak/>
        <w:t>a) El estudio técnico.</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b) El Acta de Cabildo, mediante la cual se aprobó la remodelación; así como, el documento o documentos en donde conste la Justificación de la obra.</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c) El documento en donde conste el nombre de la empresa responsable de la obra.</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d) Las facturas pagadas a la empresa, con motivo de dicha remodelación, al 19 de marzo de 2019.</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e) El documento o documentos en donde consten los materiales utilizados por la empresa en la obra de que se trata al 19 de marzo de 2019.</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f) El documento o documentos en donde conste el costo total de la remodelación de que se trata.</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 xml:space="preserve">Debiendo notificar al </w:t>
      </w:r>
      <w:r w:rsidRPr="00955A85">
        <w:rPr>
          <w:rFonts w:ascii="Palatino Linotype" w:eastAsia="Times New Roman" w:hAnsi="Palatino Linotype" w:cs="Times New Roman"/>
          <w:b/>
          <w:i/>
          <w:iCs/>
          <w:color w:val="222222"/>
          <w:sz w:val="24"/>
          <w:szCs w:val="24"/>
          <w:shd w:val="clear" w:color="auto" w:fill="FFFFFF"/>
          <w:lang w:eastAsia="es-ES"/>
        </w:rPr>
        <w:t>RECURRENTE</w:t>
      </w:r>
      <w:r w:rsidRPr="00955A85">
        <w:rPr>
          <w:rFonts w:ascii="Palatino Linotype" w:eastAsia="Times New Roman" w:hAnsi="Palatino Linotype" w:cs="Times New Roman"/>
          <w:i/>
          <w:iCs/>
          <w:color w:val="222222"/>
          <w:sz w:val="24"/>
          <w:szCs w:val="24"/>
          <w:shd w:val="clear" w:color="auto" w:fill="FFFFFF"/>
          <w:lang w:eastAsia="es-ES"/>
        </w:rPr>
        <w:t xml:space="preserve"> el Acuerdo de Clasificación de la información que emita el Comité de Transparencia con motivo de la versión pública que se ordena entregar.</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b/>
          <w:i/>
          <w:sz w:val="24"/>
          <w:szCs w:val="24"/>
          <w:lang w:eastAsia="es-ES"/>
        </w:rPr>
      </w:pPr>
      <w:r w:rsidRPr="00955A85">
        <w:rPr>
          <w:rFonts w:ascii="Palatino Linotype" w:eastAsia="Times New Roman" w:hAnsi="Palatino Linotype" w:cs="Times New Roman"/>
          <w:i/>
          <w:sz w:val="24"/>
          <w:szCs w:val="24"/>
          <w:lang w:eastAsia="es-ES"/>
        </w:rPr>
        <w:t xml:space="preserve">Para el caso que derivado de la búsqueda exhaustiva y razonable no se localice la documentación que se ordena, y se hubiera realizado dicha obra, </w:t>
      </w:r>
      <w:r w:rsidRPr="00955A85">
        <w:rPr>
          <w:rFonts w:ascii="Palatino Linotype" w:eastAsia="Times New Roman" w:hAnsi="Palatino Linotype" w:cs="Times New Roman"/>
          <w:b/>
          <w:i/>
          <w:sz w:val="24"/>
          <w:szCs w:val="24"/>
          <w:lang w:eastAsia="es-ES"/>
        </w:rPr>
        <w:t>EL SUJETO OBLIGADO</w:t>
      </w:r>
      <w:r w:rsidRPr="00955A85">
        <w:rPr>
          <w:rFonts w:ascii="Palatino Linotype" w:eastAsia="Times New Roman" w:hAnsi="Palatino Linotype" w:cs="Times New Roman"/>
          <w:i/>
          <w:sz w:val="24"/>
          <w:szCs w:val="24"/>
          <w:lang w:eastAsia="es-ES"/>
        </w:rPr>
        <w:t xml:space="preserve"> mediante el Comité de Transparencia deberá aprobar el Acuerdo de </w:t>
      </w:r>
      <w:r w:rsidRPr="00955A85">
        <w:rPr>
          <w:rFonts w:ascii="Palatino Linotype" w:eastAsia="Times New Roman" w:hAnsi="Palatino Linotype" w:cs="Times New Roman"/>
          <w:bCs/>
          <w:i/>
          <w:sz w:val="24"/>
          <w:szCs w:val="24"/>
          <w:lang w:eastAsia="es-ES"/>
        </w:rPr>
        <w:t>Inexistencia</w:t>
      </w:r>
      <w:r w:rsidRPr="00955A85">
        <w:rPr>
          <w:rFonts w:ascii="Palatino Linotype" w:eastAsia="Times New Roman" w:hAnsi="Palatino Linotype" w:cs="Times New Roman"/>
          <w:i/>
          <w:sz w:val="24"/>
          <w:szCs w:val="24"/>
          <w:lang w:eastAsia="es-ES"/>
        </w:rPr>
        <w:t xml:space="preserve"> y hacerlo de conocimiento del </w:t>
      </w:r>
      <w:r w:rsidRPr="00955A85">
        <w:rPr>
          <w:rFonts w:ascii="Palatino Linotype" w:eastAsia="Times New Roman" w:hAnsi="Palatino Linotype" w:cs="Times New Roman"/>
          <w:b/>
          <w:i/>
          <w:sz w:val="24"/>
          <w:szCs w:val="24"/>
          <w:lang w:eastAsia="es-ES"/>
        </w:rPr>
        <w:t>RECURRENTE.</w:t>
      </w:r>
    </w:p>
    <w:p w:rsidR="00955A85" w:rsidRPr="00955A85" w:rsidRDefault="00955A85" w:rsidP="00955A85">
      <w:pPr>
        <w:spacing w:before="200" w:after="200" w:line="240" w:lineRule="auto"/>
        <w:ind w:left="851" w:right="899"/>
        <w:jc w:val="both"/>
        <w:rPr>
          <w:rFonts w:ascii="Palatino Linotype" w:eastAsia="Times New Roman" w:hAnsi="Palatino Linotype" w:cs="Times New Roman"/>
          <w:i/>
          <w:iCs/>
          <w:color w:val="222222"/>
          <w:sz w:val="24"/>
          <w:szCs w:val="24"/>
          <w:shd w:val="clear" w:color="auto" w:fill="FFFFFF"/>
          <w:lang w:eastAsia="es-ES"/>
        </w:rPr>
      </w:pPr>
      <w:r w:rsidRPr="00955A85">
        <w:rPr>
          <w:rFonts w:ascii="Palatino Linotype" w:eastAsia="Times New Roman" w:hAnsi="Palatino Linotype" w:cs="Times New Roman"/>
          <w:i/>
          <w:iCs/>
          <w:color w:val="222222"/>
          <w:sz w:val="24"/>
          <w:szCs w:val="24"/>
          <w:shd w:val="clear" w:color="auto" w:fill="FFFFFF"/>
          <w:lang w:eastAsia="es-ES"/>
        </w:rPr>
        <w:t xml:space="preserve">Sin embargo, para el supuesto de que, </w:t>
      </w:r>
      <w:r w:rsidRPr="00955A85">
        <w:rPr>
          <w:rFonts w:ascii="Palatino Linotype" w:eastAsia="Times New Roman" w:hAnsi="Palatino Linotype" w:cs="Times New Roman"/>
          <w:b/>
          <w:i/>
          <w:iCs/>
          <w:color w:val="222222"/>
          <w:sz w:val="24"/>
          <w:szCs w:val="24"/>
          <w:shd w:val="clear" w:color="auto" w:fill="FFFFFF"/>
          <w:lang w:eastAsia="es-ES"/>
        </w:rPr>
        <w:t xml:space="preserve">EL SUJETO OBLIGADO </w:t>
      </w:r>
      <w:r w:rsidRPr="00955A85">
        <w:rPr>
          <w:rFonts w:ascii="Palatino Linotype" w:eastAsia="Times New Roman" w:hAnsi="Palatino Linotype" w:cs="Times New Roman"/>
          <w:i/>
          <w:iCs/>
          <w:color w:val="222222"/>
          <w:sz w:val="24"/>
          <w:szCs w:val="24"/>
          <w:shd w:val="clear" w:color="auto" w:fill="FFFFFF"/>
          <w:lang w:eastAsia="es-ES"/>
        </w:rPr>
        <w:t xml:space="preserve">no hubiese autorizado tal remodelación; bastará con que lo haga de conocimiento del </w:t>
      </w:r>
      <w:r w:rsidRPr="00955A85">
        <w:rPr>
          <w:rFonts w:ascii="Palatino Linotype" w:eastAsia="Times New Roman" w:hAnsi="Palatino Linotype" w:cs="Times New Roman"/>
          <w:b/>
          <w:i/>
          <w:iCs/>
          <w:color w:val="222222"/>
          <w:sz w:val="24"/>
          <w:szCs w:val="24"/>
          <w:shd w:val="clear" w:color="auto" w:fill="FFFFFF"/>
          <w:lang w:eastAsia="es-ES"/>
        </w:rPr>
        <w:t>RECURRENTE</w:t>
      </w:r>
      <w:r w:rsidRPr="00955A85">
        <w:rPr>
          <w:rFonts w:ascii="Palatino Linotype" w:eastAsia="Times New Roman" w:hAnsi="Palatino Linotype" w:cs="Times New Roman"/>
          <w:i/>
          <w:iCs/>
          <w:color w:val="222222"/>
          <w:sz w:val="24"/>
          <w:szCs w:val="24"/>
          <w:shd w:val="clear" w:color="auto" w:fill="FFFFFF"/>
          <w:lang w:eastAsia="es-ES"/>
        </w:rPr>
        <w:t>.”</w:t>
      </w:r>
    </w:p>
    <w:p w:rsidR="00CA5807" w:rsidRDefault="00CA5807" w:rsidP="00CA5807">
      <w:pPr>
        <w:pStyle w:val="Prrafodelista"/>
        <w:spacing w:before="120" w:after="120" w:line="360" w:lineRule="auto"/>
        <w:ind w:left="0" w:right="49"/>
        <w:jc w:val="both"/>
        <w:rPr>
          <w:rFonts w:ascii="Palatino Linotype" w:hAnsi="Palatino Linotype"/>
          <w:sz w:val="24"/>
          <w:szCs w:val="24"/>
        </w:rPr>
      </w:pPr>
    </w:p>
    <w:p w:rsidR="00DC6A75" w:rsidRDefault="003C0D78" w:rsidP="000A0465">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DC6A75">
        <w:rPr>
          <w:rFonts w:ascii="Palatino Linotype" w:eastAsia="Times New Roman" w:hAnsi="Palatino Linotype" w:cs="Arial"/>
          <w:sz w:val="24"/>
        </w:rPr>
        <w:t>Sin embargo esta ponencia observó que la resolución puntualmente i</w:t>
      </w:r>
      <w:r w:rsidR="007648FD" w:rsidRPr="00DC6A75">
        <w:rPr>
          <w:rFonts w:ascii="Palatino Linotype" w:eastAsia="Times New Roman" w:hAnsi="Palatino Linotype" w:cs="Arial"/>
          <w:sz w:val="24"/>
        </w:rPr>
        <w:t xml:space="preserve">ndica lo siguiente respecto a </w:t>
      </w:r>
      <w:r w:rsidR="00984B74" w:rsidRPr="00DC6A75">
        <w:rPr>
          <w:rFonts w:ascii="Palatino Linotype" w:eastAsia="Times New Roman" w:hAnsi="Palatino Linotype" w:cs="Arial"/>
          <w:sz w:val="24"/>
        </w:rPr>
        <w:t>la información solicitada</w:t>
      </w:r>
      <w:r w:rsidR="00CA5807">
        <w:rPr>
          <w:rFonts w:ascii="Palatino Linotype" w:eastAsia="Times New Roman" w:hAnsi="Palatino Linotype" w:cs="Arial"/>
          <w:sz w:val="24"/>
        </w:rPr>
        <w:t>:</w:t>
      </w:r>
    </w:p>
    <w:p w:rsidR="00C00466" w:rsidRDefault="00C00466" w:rsidP="00587A37">
      <w:pPr>
        <w:pStyle w:val="Prrafodelista"/>
        <w:spacing w:before="240" w:after="240" w:line="360" w:lineRule="auto"/>
        <w:ind w:left="0" w:right="49"/>
        <w:jc w:val="both"/>
        <w:rPr>
          <w:rFonts w:ascii="Palatino Linotype" w:eastAsia="Times New Roman" w:hAnsi="Palatino Linotype" w:cs="Arial"/>
          <w:i/>
          <w:sz w:val="24"/>
        </w:rPr>
      </w:pPr>
    </w:p>
    <w:p w:rsidR="00694645" w:rsidRPr="00694645" w:rsidRDefault="00694645" w:rsidP="00694645">
      <w:pPr>
        <w:spacing w:before="200" w:after="200" w:line="240" w:lineRule="auto"/>
        <w:ind w:left="851" w:right="899"/>
        <w:jc w:val="both"/>
        <w:rPr>
          <w:rFonts w:ascii="Palatino Linotype" w:eastAsia="Times New Roman" w:hAnsi="Palatino Linotype" w:cs="Times New Roman"/>
          <w:b/>
          <w:i/>
          <w:iCs/>
          <w:color w:val="222222"/>
          <w:sz w:val="24"/>
          <w:szCs w:val="24"/>
          <w:shd w:val="clear" w:color="auto" w:fill="FFFFFF"/>
          <w:lang w:eastAsia="es-ES"/>
        </w:rPr>
      </w:pPr>
      <w:r w:rsidRPr="00694645">
        <w:rPr>
          <w:rFonts w:ascii="Palatino Linotype" w:eastAsia="Times New Roman" w:hAnsi="Palatino Linotype" w:cs="Times New Roman"/>
          <w:i/>
          <w:iCs/>
          <w:color w:val="222222"/>
          <w:sz w:val="24"/>
          <w:szCs w:val="24"/>
          <w:shd w:val="clear" w:color="auto" w:fill="FFFFFF"/>
          <w:lang w:eastAsia="es-ES"/>
        </w:rPr>
        <w:lastRenderedPageBreak/>
        <w:t xml:space="preserve">Para el caso de que </w:t>
      </w:r>
      <w:r w:rsidRPr="00694645">
        <w:rPr>
          <w:rFonts w:ascii="Palatino Linotype" w:eastAsia="Times New Roman" w:hAnsi="Palatino Linotype" w:cs="Times New Roman"/>
          <w:b/>
          <w:i/>
          <w:iCs/>
          <w:color w:val="222222"/>
          <w:sz w:val="24"/>
          <w:szCs w:val="24"/>
          <w:shd w:val="clear" w:color="auto" w:fill="FFFFFF"/>
          <w:lang w:eastAsia="es-ES"/>
        </w:rPr>
        <w:t xml:space="preserve">EL SUJETO OBLIGADO </w:t>
      </w:r>
      <w:r w:rsidRPr="00694645">
        <w:rPr>
          <w:rFonts w:ascii="Palatino Linotype" w:eastAsia="Times New Roman" w:hAnsi="Palatino Linotype" w:cs="Times New Roman"/>
          <w:i/>
          <w:iCs/>
          <w:color w:val="222222"/>
          <w:sz w:val="24"/>
          <w:szCs w:val="24"/>
          <w:shd w:val="clear" w:color="auto" w:fill="FFFFFF"/>
          <w:lang w:eastAsia="es-ES"/>
        </w:rPr>
        <w:t xml:space="preserve">no hubiera emitido dicho Reglamento, bastará con que lo haga de conocimiento de </w:t>
      </w:r>
      <w:r w:rsidRPr="00694645">
        <w:rPr>
          <w:rFonts w:ascii="Palatino Linotype" w:eastAsia="Times New Roman" w:hAnsi="Palatino Linotype" w:cs="Times New Roman"/>
          <w:b/>
          <w:i/>
          <w:iCs/>
          <w:color w:val="222222"/>
          <w:sz w:val="24"/>
          <w:szCs w:val="24"/>
          <w:shd w:val="clear" w:color="auto" w:fill="FFFFFF"/>
          <w:lang w:eastAsia="es-ES"/>
        </w:rPr>
        <w:t>LA RECURRENTE.</w:t>
      </w:r>
    </w:p>
    <w:p w:rsidR="007F433F" w:rsidRPr="00C00466" w:rsidRDefault="007F433F" w:rsidP="006A308D">
      <w:pPr>
        <w:pStyle w:val="Prrafodelista"/>
        <w:spacing w:before="240" w:after="240" w:line="360" w:lineRule="auto"/>
        <w:ind w:left="851" w:right="900"/>
        <w:jc w:val="both"/>
        <w:rPr>
          <w:rFonts w:ascii="Palatino Linotype" w:hAnsi="Palatino Linotype" w:cs="Arial"/>
          <w:i/>
          <w:sz w:val="24"/>
          <w:szCs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3078771"/>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3078772"/>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984B74">
      <w:pPr>
        <w:pStyle w:val="Prrafodelista"/>
        <w:numPr>
          <w:ilvl w:val="0"/>
          <w:numId w:val="5"/>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984B74">
      <w:pPr>
        <w:pStyle w:val="Prrafodelista"/>
        <w:numPr>
          <w:ilvl w:val="0"/>
          <w:numId w:val="5"/>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984B74">
      <w:pPr>
        <w:pStyle w:val="Prrafodelista"/>
        <w:numPr>
          <w:ilvl w:val="0"/>
          <w:numId w:val="5"/>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984B74">
      <w:pPr>
        <w:pStyle w:val="Prrafodelista"/>
        <w:numPr>
          <w:ilvl w:val="0"/>
          <w:numId w:val="6"/>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984B74">
      <w:pPr>
        <w:pStyle w:val="Prrafodelista"/>
        <w:numPr>
          <w:ilvl w:val="0"/>
          <w:numId w:val="6"/>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0A7EFF" w:rsidRPr="00A26B5E" w:rsidRDefault="00483418" w:rsidP="000A7EFF">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w:t>
      </w:r>
      <w:bookmarkStart w:id="6" w:name="_Toc13078773"/>
      <w:r w:rsidR="00393C5E">
        <w:rPr>
          <w:b/>
          <w:noProof/>
          <w:lang w:eastAsia="es-MX"/>
        </w:rPr>
        <mc:AlternateContent>
          <mc:Choice Requires="wps">
            <w:drawing>
              <wp:anchor distT="0" distB="0" distL="114300" distR="114300" simplePos="0" relativeHeight="251659264" behindDoc="0" locked="0" layoutInCell="1" allowOverlap="1" wp14:anchorId="3A9337E2" wp14:editId="3CD3B08B">
                <wp:simplePos x="0" y="0"/>
                <wp:positionH relativeFrom="column">
                  <wp:posOffset>-51435</wp:posOffset>
                </wp:positionH>
                <wp:positionV relativeFrom="paragraph">
                  <wp:posOffset>2168525</wp:posOffset>
                </wp:positionV>
                <wp:extent cx="5762625" cy="5200650"/>
                <wp:effectExtent l="19050" t="19050" r="28575" b="19050"/>
                <wp:wrapNone/>
                <wp:docPr id="1" name="Conector recto 1"/>
                <wp:cNvGraphicFramePr/>
                <a:graphic xmlns:a="http://schemas.openxmlformats.org/drawingml/2006/main">
                  <a:graphicData uri="http://schemas.microsoft.com/office/word/2010/wordprocessingShape">
                    <wps:wsp>
                      <wps:cNvCnPr/>
                      <wps:spPr>
                        <a:xfrm>
                          <a:off x="0" y="0"/>
                          <a:ext cx="5762625" cy="52006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A603D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70.75pt" to="449.7pt,5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" strokecolor="#5b9bd5 [3204]" strokeweight="3pt">
                <v:stroke joinstyle="miter"/>
              </v:line>
            </w:pict>
          </mc:Fallback>
        </mc:AlternateContent>
      </w:r>
      <w:bookmarkEnd w:id="6"/>
      <w:r w:rsidR="00B21F85" w:rsidRPr="00B21F85">
        <w:rPr>
          <w:rFonts w:ascii="Palatino Linotype" w:hAnsi="Palatino Linotype"/>
          <w:sz w:val="24"/>
          <w:szCs w:val="24"/>
        </w:rPr>
        <w:t>solicitada no lo hizo.</w:t>
      </w:r>
    </w:p>
    <w:p w:rsidR="00694645" w:rsidRDefault="00694645" w:rsidP="00CD53CB">
      <w:pPr>
        <w:pStyle w:val="Ttulo1"/>
        <w:rPr>
          <w:rFonts w:asciiTheme="minorHAnsi" w:eastAsiaTheme="minorHAnsi" w:hAnsiTheme="minorHAnsi" w:cstheme="minorBidi"/>
          <w:b w:val="0"/>
          <w:color w:val="auto"/>
          <w:sz w:val="22"/>
          <w:szCs w:val="22"/>
        </w:rPr>
      </w:pPr>
    </w:p>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Default="00694645" w:rsidP="00694645"/>
    <w:p w:rsidR="00694645" w:rsidRPr="00694645" w:rsidRDefault="00694645" w:rsidP="00694645"/>
    <w:p w:rsidR="00E6179D" w:rsidRPr="0083488C" w:rsidRDefault="00CD53CB" w:rsidP="00CD53CB">
      <w:pPr>
        <w:pStyle w:val="Ttulo1"/>
        <w:rPr>
          <w:rFonts w:eastAsia="Calibri"/>
          <w:szCs w:val="24"/>
        </w:rPr>
      </w:pPr>
      <w:bookmarkStart w:id="7" w:name="_Toc13078774"/>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A26B5E" w:rsidRDefault="00A26B5E" w:rsidP="00E6179D">
      <w:pPr>
        <w:pStyle w:val="Prrafodelista"/>
        <w:spacing w:before="240" w:after="240" w:line="360" w:lineRule="auto"/>
        <w:ind w:left="0"/>
        <w:jc w:val="both"/>
        <w:rPr>
          <w:rFonts w:ascii="Palatino Linotype" w:hAnsi="Palatino Linotype" w:cs="Arial"/>
          <w:color w:val="000000" w:themeColor="text1"/>
          <w:sz w:val="24"/>
          <w:szCs w:val="24"/>
        </w:rPr>
      </w:pPr>
    </w:p>
    <w:p w:rsidR="00A17BDB" w:rsidRDefault="00A17BDB" w:rsidP="00E6179D">
      <w:pPr>
        <w:pStyle w:val="Prrafodelista"/>
        <w:spacing w:before="240" w:after="240" w:line="360" w:lineRule="auto"/>
        <w:ind w:left="0"/>
        <w:jc w:val="both"/>
        <w:rPr>
          <w:rFonts w:ascii="Palatino Linotype" w:hAnsi="Palatino Linotype" w:cs="Arial"/>
          <w:color w:val="000000" w:themeColor="text1"/>
          <w:sz w:val="24"/>
          <w:szCs w:val="24"/>
        </w:rPr>
      </w:pPr>
    </w:p>
    <w:p w:rsidR="00A17BDB" w:rsidRDefault="00A17BDB" w:rsidP="00E6179D">
      <w:pPr>
        <w:pStyle w:val="Prrafodelista"/>
        <w:spacing w:before="240" w:after="240" w:line="360" w:lineRule="auto"/>
        <w:ind w:left="0"/>
        <w:jc w:val="both"/>
        <w:rPr>
          <w:rFonts w:ascii="Palatino Linotype" w:hAnsi="Palatino Linotype" w:cs="Arial"/>
          <w:color w:val="000000" w:themeColor="text1"/>
          <w:sz w:val="24"/>
          <w:szCs w:val="24"/>
        </w:rPr>
      </w:pPr>
    </w:p>
    <w:p w:rsidR="00C86362" w:rsidRPr="00427B79" w:rsidRDefault="00C86362"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A26B5E">
      <w:pPr>
        <w:tabs>
          <w:tab w:val="center" w:pos="4419"/>
          <w:tab w:val="right" w:pos="8838"/>
        </w:tabs>
        <w:spacing w:line="24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A26B5E">
      <w:pPr>
        <w:spacing w:line="24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E349CD" w:rsidRPr="00A26B5E" w:rsidRDefault="00A26B5E" w:rsidP="00A26B5E">
      <w:pPr>
        <w:spacing w:line="240" w:lineRule="auto"/>
        <w:jc w:val="center"/>
        <w:rPr>
          <w:rFonts w:ascii="Palatino Linotype" w:hAnsi="Palatino Linotype"/>
          <w:b/>
          <w:color w:val="000000" w:themeColor="text1"/>
          <w:sz w:val="24"/>
          <w:szCs w:val="24"/>
        </w:rPr>
      </w:pPr>
      <w:r w:rsidRPr="00A26B5E">
        <w:rPr>
          <w:rFonts w:ascii="Palatino Linotype" w:hAnsi="Palatino Linotype"/>
          <w:b/>
          <w:color w:val="000000" w:themeColor="text1"/>
          <w:sz w:val="24"/>
          <w:szCs w:val="24"/>
        </w:rPr>
        <w:t>(Rúbrica)</w:t>
      </w:r>
    </w:p>
    <w:p w:rsidR="00A26B5E" w:rsidRDefault="00A26B5E" w:rsidP="00E6179D">
      <w:pPr>
        <w:rPr>
          <w:rFonts w:ascii="Palatino Linotype" w:hAnsi="Palatino Linotype"/>
          <w:color w:val="000000" w:themeColor="text1"/>
          <w:sz w:val="24"/>
          <w:szCs w:val="24"/>
        </w:rPr>
      </w:pPr>
    </w:p>
    <w:p w:rsidR="00684E51" w:rsidRDefault="00684E51" w:rsidP="00E6179D">
      <w:pPr>
        <w:rPr>
          <w:rFonts w:ascii="Palatino Linotype" w:hAnsi="Palatino Linotype"/>
          <w:color w:val="000000" w:themeColor="text1"/>
          <w:sz w:val="24"/>
          <w:szCs w:val="24"/>
        </w:rPr>
      </w:pPr>
    </w:p>
    <w:p w:rsidR="00694645" w:rsidRDefault="00694645"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00D" w:rsidRDefault="00A4400D" w:rsidP="00E82D3D">
      <w:pPr>
        <w:spacing w:after="0" w:line="240" w:lineRule="auto"/>
      </w:pPr>
      <w:r>
        <w:separator/>
      </w:r>
    </w:p>
  </w:endnote>
  <w:endnote w:type="continuationSeparator" w:id="0">
    <w:p w:rsidR="00A4400D" w:rsidRDefault="00A4400D"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1B1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1B1B">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00D" w:rsidRDefault="00A4400D" w:rsidP="00E82D3D">
      <w:pPr>
        <w:spacing w:after="0" w:line="240" w:lineRule="auto"/>
      </w:pPr>
      <w:r>
        <w:separator/>
      </w:r>
    </w:p>
  </w:footnote>
  <w:footnote w:type="continuationSeparator" w:id="0">
    <w:p w:rsidR="00A4400D" w:rsidRDefault="00A4400D"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440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440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A4400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1825"/>
    <w:multiLevelType w:val="hybridMultilevel"/>
    <w:tmpl w:val="F90848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33DA6859"/>
    <w:multiLevelType w:val="hybridMultilevel"/>
    <w:tmpl w:val="D2689C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441802C3"/>
    <w:multiLevelType w:val="hybridMultilevel"/>
    <w:tmpl w:val="29809A44"/>
    <w:lvl w:ilvl="0" w:tplc="080A000F">
      <w:start w:val="1"/>
      <w:numFmt w:val="decimal"/>
      <w:lvlText w:val="%1."/>
      <w:lvlJc w:val="left"/>
      <w:pPr>
        <w:ind w:left="928"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AF307C9"/>
    <w:multiLevelType w:val="hybridMultilevel"/>
    <w:tmpl w:val="E2743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7B43051"/>
    <w:multiLevelType w:val="hybridMultilevel"/>
    <w:tmpl w:val="9C528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CE3B49"/>
    <w:multiLevelType w:val="multilevel"/>
    <w:tmpl w:val="2E0ABCA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2273FE"/>
    <w:multiLevelType w:val="hybridMultilevel"/>
    <w:tmpl w:val="6C94D6F2"/>
    <w:lvl w:ilvl="0" w:tplc="EA2E85B6">
      <w:start w:val="1"/>
      <w:numFmt w:val="decimal"/>
      <w:lvlText w:val="%1."/>
      <w:lvlJc w:val="left"/>
      <w:pPr>
        <w:ind w:left="1571" w:hanging="360"/>
      </w:pPr>
      <w:rPr>
        <w:rFonts w:ascii="Palatino Linotype" w:eastAsiaTheme="minorEastAsia" w:hAnsi="Palatino Linotype" w:cstheme="minorBid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12"/>
  </w:num>
  <w:num w:numId="5">
    <w:abstractNumId w:val="4"/>
  </w:num>
  <w:num w:numId="6">
    <w:abstractNumId w:val="9"/>
  </w:num>
  <w:num w:numId="7">
    <w:abstractNumId w:val="0"/>
  </w:num>
  <w:num w:numId="8">
    <w:abstractNumId w:val="3"/>
  </w:num>
  <w:num w:numId="9">
    <w:abstractNumId w:val="5"/>
  </w:num>
  <w:num w:numId="10">
    <w:abstractNumId w:val="11"/>
  </w:num>
  <w:num w:numId="11">
    <w:abstractNumId w:val="10"/>
  </w:num>
  <w:num w:numId="12">
    <w:abstractNumId w:val="2"/>
  </w:num>
  <w:num w:numId="13">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1E3A"/>
    <w:rsid w:val="00002FEE"/>
    <w:rsid w:val="00003F39"/>
    <w:rsid w:val="00007F05"/>
    <w:rsid w:val="00017704"/>
    <w:rsid w:val="0002180D"/>
    <w:rsid w:val="00023284"/>
    <w:rsid w:val="00025E0E"/>
    <w:rsid w:val="0002788B"/>
    <w:rsid w:val="00033837"/>
    <w:rsid w:val="000354F0"/>
    <w:rsid w:val="0003648B"/>
    <w:rsid w:val="00036595"/>
    <w:rsid w:val="00046733"/>
    <w:rsid w:val="00047D47"/>
    <w:rsid w:val="00047EA1"/>
    <w:rsid w:val="00050071"/>
    <w:rsid w:val="00051010"/>
    <w:rsid w:val="00051B39"/>
    <w:rsid w:val="000550BB"/>
    <w:rsid w:val="0005779D"/>
    <w:rsid w:val="000602CB"/>
    <w:rsid w:val="0006391B"/>
    <w:rsid w:val="0006430D"/>
    <w:rsid w:val="00064C7C"/>
    <w:rsid w:val="0007217E"/>
    <w:rsid w:val="00075BC8"/>
    <w:rsid w:val="00077E58"/>
    <w:rsid w:val="00080138"/>
    <w:rsid w:val="00082116"/>
    <w:rsid w:val="00083196"/>
    <w:rsid w:val="00084B75"/>
    <w:rsid w:val="0008550B"/>
    <w:rsid w:val="000921E9"/>
    <w:rsid w:val="0009506C"/>
    <w:rsid w:val="000957D0"/>
    <w:rsid w:val="00096CC2"/>
    <w:rsid w:val="000A17C5"/>
    <w:rsid w:val="000A7EFF"/>
    <w:rsid w:val="000B09D7"/>
    <w:rsid w:val="000B1372"/>
    <w:rsid w:val="000B2BE4"/>
    <w:rsid w:val="000C57DB"/>
    <w:rsid w:val="000C7896"/>
    <w:rsid w:val="000D079B"/>
    <w:rsid w:val="000D3EE5"/>
    <w:rsid w:val="000D647C"/>
    <w:rsid w:val="000D75B5"/>
    <w:rsid w:val="000D78CD"/>
    <w:rsid w:val="000E1ACA"/>
    <w:rsid w:val="000E4D6E"/>
    <w:rsid w:val="000F6EC0"/>
    <w:rsid w:val="00102360"/>
    <w:rsid w:val="00113C80"/>
    <w:rsid w:val="00113E8A"/>
    <w:rsid w:val="001203AC"/>
    <w:rsid w:val="001240A5"/>
    <w:rsid w:val="001313F7"/>
    <w:rsid w:val="00131C89"/>
    <w:rsid w:val="00132BDB"/>
    <w:rsid w:val="001351F6"/>
    <w:rsid w:val="00143687"/>
    <w:rsid w:val="00147D04"/>
    <w:rsid w:val="00155E3D"/>
    <w:rsid w:val="0016014E"/>
    <w:rsid w:val="001604B4"/>
    <w:rsid w:val="0016671B"/>
    <w:rsid w:val="00166A4D"/>
    <w:rsid w:val="001708DF"/>
    <w:rsid w:val="001725DC"/>
    <w:rsid w:val="0018245A"/>
    <w:rsid w:val="001833A7"/>
    <w:rsid w:val="0018421D"/>
    <w:rsid w:val="001849AC"/>
    <w:rsid w:val="00187407"/>
    <w:rsid w:val="00196CAE"/>
    <w:rsid w:val="001A3506"/>
    <w:rsid w:val="001A4E6E"/>
    <w:rsid w:val="001A5DCA"/>
    <w:rsid w:val="001A62C6"/>
    <w:rsid w:val="001A7D89"/>
    <w:rsid w:val="001B19B4"/>
    <w:rsid w:val="001C02FA"/>
    <w:rsid w:val="001C23BB"/>
    <w:rsid w:val="001C27F2"/>
    <w:rsid w:val="001C3DD0"/>
    <w:rsid w:val="001C5A78"/>
    <w:rsid w:val="001C6366"/>
    <w:rsid w:val="001D291F"/>
    <w:rsid w:val="001D35E2"/>
    <w:rsid w:val="001D47E3"/>
    <w:rsid w:val="001D7149"/>
    <w:rsid w:val="001D71D8"/>
    <w:rsid w:val="001D7C57"/>
    <w:rsid w:val="001E1AE7"/>
    <w:rsid w:val="001E5635"/>
    <w:rsid w:val="001E6434"/>
    <w:rsid w:val="001F05DA"/>
    <w:rsid w:val="001F0E58"/>
    <w:rsid w:val="001F1428"/>
    <w:rsid w:val="001F3917"/>
    <w:rsid w:val="00202AE6"/>
    <w:rsid w:val="002154CE"/>
    <w:rsid w:val="0022191E"/>
    <w:rsid w:val="00223548"/>
    <w:rsid w:val="00224B9E"/>
    <w:rsid w:val="00225470"/>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85283"/>
    <w:rsid w:val="002927D9"/>
    <w:rsid w:val="00295D28"/>
    <w:rsid w:val="002962A4"/>
    <w:rsid w:val="002A2E8D"/>
    <w:rsid w:val="002A3111"/>
    <w:rsid w:val="002A3E3F"/>
    <w:rsid w:val="002B017A"/>
    <w:rsid w:val="002B02A8"/>
    <w:rsid w:val="002B1FE5"/>
    <w:rsid w:val="002B2BF5"/>
    <w:rsid w:val="002B30C5"/>
    <w:rsid w:val="002B6741"/>
    <w:rsid w:val="002C0B0D"/>
    <w:rsid w:val="002C1A0B"/>
    <w:rsid w:val="002C3124"/>
    <w:rsid w:val="002C4ACE"/>
    <w:rsid w:val="002D2F58"/>
    <w:rsid w:val="002D4033"/>
    <w:rsid w:val="002E3ED2"/>
    <w:rsid w:val="002E691F"/>
    <w:rsid w:val="002F4918"/>
    <w:rsid w:val="002F79FF"/>
    <w:rsid w:val="002F7E76"/>
    <w:rsid w:val="003005F7"/>
    <w:rsid w:val="00302CEB"/>
    <w:rsid w:val="0030417B"/>
    <w:rsid w:val="00305CE0"/>
    <w:rsid w:val="00310A09"/>
    <w:rsid w:val="00315772"/>
    <w:rsid w:val="003170B3"/>
    <w:rsid w:val="00317725"/>
    <w:rsid w:val="0032084C"/>
    <w:rsid w:val="0032240B"/>
    <w:rsid w:val="003258B6"/>
    <w:rsid w:val="0032670C"/>
    <w:rsid w:val="003267BA"/>
    <w:rsid w:val="00331AC5"/>
    <w:rsid w:val="00332757"/>
    <w:rsid w:val="00355ED5"/>
    <w:rsid w:val="003564CA"/>
    <w:rsid w:val="00360A7B"/>
    <w:rsid w:val="0036141D"/>
    <w:rsid w:val="003617E4"/>
    <w:rsid w:val="0036569E"/>
    <w:rsid w:val="003676A8"/>
    <w:rsid w:val="003722F0"/>
    <w:rsid w:val="00376B99"/>
    <w:rsid w:val="00377B5A"/>
    <w:rsid w:val="003817BE"/>
    <w:rsid w:val="00384DBA"/>
    <w:rsid w:val="00385324"/>
    <w:rsid w:val="003855C9"/>
    <w:rsid w:val="00386739"/>
    <w:rsid w:val="003875DC"/>
    <w:rsid w:val="00387F6B"/>
    <w:rsid w:val="00391E5E"/>
    <w:rsid w:val="00393C5E"/>
    <w:rsid w:val="003965B8"/>
    <w:rsid w:val="003A0BF7"/>
    <w:rsid w:val="003A0E53"/>
    <w:rsid w:val="003A31EF"/>
    <w:rsid w:val="003A4962"/>
    <w:rsid w:val="003C0D78"/>
    <w:rsid w:val="003C19DC"/>
    <w:rsid w:val="003C3547"/>
    <w:rsid w:val="003C37C6"/>
    <w:rsid w:val="003C7F8A"/>
    <w:rsid w:val="003D41BA"/>
    <w:rsid w:val="003D42E2"/>
    <w:rsid w:val="003D7278"/>
    <w:rsid w:val="003D74AD"/>
    <w:rsid w:val="003E0648"/>
    <w:rsid w:val="003E12FC"/>
    <w:rsid w:val="003E7DCC"/>
    <w:rsid w:val="003F0FAA"/>
    <w:rsid w:val="003F1617"/>
    <w:rsid w:val="003F2054"/>
    <w:rsid w:val="00401477"/>
    <w:rsid w:val="00406AF7"/>
    <w:rsid w:val="00410B42"/>
    <w:rsid w:val="0041189B"/>
    <w:rsid w:val="00413714"/>
    <w:rsid w:val="00421B1A"/>
    <w:rsid w:val="00423C67"/>
    <w:rsid w:val="00426D97"/>
    <w:rsid w:val="00427B43"/>
    <w:rsid w:val="00427B79"/>
    <w:rsid w:val="004340E4"/>
    <w:rsid w:val="00434E1A"/>
    <w:rsid w:val="004351AE"/>
    <w:rsid w:val="00436338"/>
    <w:rsid w:val="00436541"/>
    <w:rsid w:val="00437D14"/>
    <w:rsid w:val="00443C91"/>
    <w:rsid w:val="004440DE"/>
    <w:rsid w:val="00446B77"/>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1534"/>
    <w:rsid w:val="004C57A6"/>
    <w:rsid w:val="004D66C5"/>
    <w:rsid w:val="004D6775"/>
    <w:rsid w:val="004D772F"/>
    <w:rsid w:val="004E41BE"/>
    <w:rsid w:val="004E6D94"/>
    <w:rsid w:val="004F1BDF"/>
    <w:rsid w:val="004F360B"/>
    <w:rsid w:val="004F3ABB"/>
    <w:rsid w:val="004F4DA5"/>
    <w:rsid w:val="004F6B61"/>
    <w:rsid w:val="00500BB0"/>
    <w:rsid w:val="00501D40"/>
    <w:rsid w:val="00510EE4"/>
    <w:rsid w:val="00522308"/>
    <w:rsid w:val="0052306C"/>
    <w:rsid w:val="005328D3"/>
    <w:rsid w:val="0053560A"/>
    <w:rsid w:val="00537F1A"/>
    <w:rsid w:val="005441DE"/>
    <w:rsid w:val="005503D3"/>
    <w:rsid w:val="00551207"/>
    <w:rsid w:val="00554B28"/>
    <w:rsid w:val="005556CA"/>
    <w:rsid w:val="005565CE"/>
    <w:rsid w:val="005650D9"/>
    <w:rsid w:val="00567957"/>
    <w:rsid w:val="00576880"/>
    <w:rsid w:val="00587A37"/>
    <w:rsid w:val="005905A5"/>
    <w:rsid w:val="00590C2D"/>
    <w:rsid w:val="00594E5C"/>
    <w:rsid w:val="005A2712"/>
    <w:rsid w:val="005A2F43"/>
    <w:rsid w:val="005A5C01"/>
    <w:rsid w:val="005B2060"/>
    <w:rsid w:val="005B30BB"/>
    <w:rsid w:val="005B4B9A"/>
    <w:rsid w:val="005C0258"/>
    <w:rsid w:val="005C3F74"/>
    <w:rsid w:val="005C5909"/>
    <w:rsid w:val="005C74AE"/>
    <w:rsid w:val="005D0118"/>
    <w:rsid w:val="005D0248"/>
    <w:rsid w:val="005D1F96"/>
    <w:rsid w:val="005D2393"/>
    <w:rsid w:val="005D53F2"/>
    <w:rsid w:val="005D71D8"/>
    <w:rsid w:val="005E4A39"/>
    <w:rsid w:val="005E5192"/>
    <w:rsid w:val="005F222A"/>
    <w:rsid w:val="005F30BC"/>
    <w:rsid w:val="005F393D"/>
    <w:rsid w:val="005F3E96"/>
    <w:rsid w:val="006033A6"/>
    <w:rsid w:val="00611694"/>
    <w:rsid w:val="0061188C"/>
    <w:rsid w:val="00617ACF"/>
    <w:rsid w:val="00625C44"/>
    <w:rsid w:val="006262ED"/>
    <w:rsid w:val="006319DC"/>
    <w:rsid w:val="00645585"/>
    <w:rsid w:val="00645B94"/>
    <w:rsid w:val="006562FF"/>
    <w:rsid w:val="00672D4A"/>
    <w:rsid w:val="00673029"/>
    <w:rsid w:val="00675CF8"/>
    <w:rsid w:val="00676187"/>
    <w:rsid w:val="00680533"/>
    <w:rsid w:val="00684E51"/>
    <w:rsid w:val="006864CA"/>
    <w:rsid w:val="00686870"/>
    <w:rsid w:val="00693113"/>
    <w:rsid w:val="006937EC"/>
    <w:rsid w:val="00694645"/>
    <w:rsid w:val="006951FC"/>
    <w:rsid w:val="00697C15"/>
    <w:rsid w:val="006A0BDD"/>
    <w:rsid w:val="006A3003"/>
    <w:rsid w:val="006A308D"/>
    <w:rsid w:val="006B1BCD"/>
    <w:rsid w:val="006B39ED"/>
    <w:rsid w:val="006C5631"/>
    <w:rsid w:val="006C5E0D"/>
    <w:rsid w:val="006C60E3"/>
    <w:rsid w:val="006D3C8A"/>
    <w:rsid w:val="006E22C9"/>
    <w:rsid w:val="006F081D"/>
    <w:rsid w:val="006F0A01"/>
    <w:rsid w:val="006F1EE7"/>
    <w:rsid w:val="007015AB"/>
    <w:rsid w:val="00715A51"/>
    <w:rsid w:val="00720807"/>
    <w:rsid w:val="00720D2F"/>
    <w:rsid w:val="00723CDA"/>
    <w:rsid w:val="00724AE8"/>
    <w:rsid w:val="00730193"/>
    <w:rsid w:val="00732CD2"/>
    <w:rsid w:val="00733359"/>
    <w:rsid w:val="007349D6"/>
    <w:rsid w:val="00740A46"/>
    <w:rsid w:val="00740DA3"/>
    <w:rsid w:val="00744BA1"/>
    <w:rsid w:val="00744F8C"/>
    <w:rsid w:val="00747895"/>
    <w:rsid w:val="00754249"/>
    <w:rsid w:val="00761D8C"/>
    <w:rsid w:val="007626E7"/>
    <w:rsid w:val="007648FD"/>
    <w:rsid w:val="00772B4B"/>
    <w:rsid w:val="00773AAF"/>
    <w:rsid w:val="007763E8"/>
    <w:rsid w:val="007777F1"/>
    <w:rsid w:val="00780F47"/>
    <w:rsid w:val="00786073"/>
    <w:rsid w:val="00787043"/>
    <w:rsid w:val="00787B93"/>
    <w:rsid w:val="007910FD"/>
    <w:rsid w:val="00797A31"/>
    <w:rsid w:val="007A1EB0"/>
    <w:rsid w:val="007A304C"/>
    <w:rsid w:val="007A4C87"/>
    <w:rsid w:val="007A5444"/>
    <w:rsid w:val="007A5D57"/>
    <w:rsid w:val="007A671C"/>
    <w:rsid w:val="007B0214"/>
    <w:rsid w:val="007B0E23"/>
    <w:rsid w:val="007B2BB0"/>
    <w:rsid w:val="007B2DD9"/>
    <w:rsid w:val="007D037D"/>
    <w:rsid w:val="007D03AB"/>
    <w:rsid w:val="007D1783"/>
    <w:rsid w:val="007D2D36"/>
    <w:rsid w:val="007D3BD3"/>
    <w:rsid w:val="007D7732"/>
    <w:rsid w:val="007E2065"/>
    <w:rsid w:val="007E48FF"/>
    <w:rsid w:val="007F063A"/>
    <w:rsid w:val="007F433F"/>
    <w:rsid w:val="007F7A9D"/>
    <w:rsid w:val="0080377C"/>
    <w:rsid w:val="008049C8"/>
    <w:rsid w:val="00804A5D"/>
    <w:rsid w:val="00806194"/>
    <w:rsid w:val="00806C2E"/>
    <w:rsid w:val="00806F09"/>
    <w:rsid w:val="008076C1"/>
    <w:rsid w:val="00807E40"/>
    <w:rsid w:val="0081257A"/>
    <w:rsid w:val="008126FB"/>
    <w:rsid w:val="00817655"/>
    <w:rsid w:val="00820775"/>
    <w:rsid w:val="008216B4"/>
    <w:rsid w:val="00821BFF"/>
    <w:rsid w:val="00821FE4"/>
    <w:rsid w:val="008232B6"/>
    <w:rsid w:val="00831AE8"/>
    <w:rsid w:val="00831B0F"/>
    <w:rsid w:val="00833F82"/>
    <w:rsid w:val="0083488C"/>
    <w:rsid w:val="00835C8D"/>
    <w:rsid w:val="00843E5B"/>
    <w:rsid w:val="008461BC"/>
    <w:rsid w:val="0084698E"/>
    <w:rsid w:val="00850B8D"/>
    <w:rsid w:val="00852C16"/>
    <w:rsid w:val="00856D24"/>
    <w:rsid w:val="00856D4F"/>
    <w:rsid w:val="008572C3"/>
    <w:rsid w:val="00857FB4"/>
    <w:rsid w:val="00860A8A"/>
    <w:rsid w:val="00862F04"/>
    <w:rsid w:val="00865C88"/>
    <w:rsid w:val="00870E92"/>
    <w:rsid w:val="00871B60"/>
    <w:rsid w:val="008747CB"/>
    <w:rsid w:val="00876065"/>
    <w:rsid w:val="008825D2"/>
    <w:rsid w:val="008843B2"/>
    <w:rsid w:val="00884EFF"/>
    <w:rsid w:val="00886DFE"/>
    <w:rsid w:val="00890823"/>
    <w:rsid w:val="00890D5D"/>
    <w:rsid w:val="00892296"/>
    <w:rsid w:val="00894E97"/>
    <w:rsid w:val="008B030F"/>
    <w:rsid w:val="008B04BB"/>
    <w:rsid w:val="008B0FC0"/>
    <w:rsid w:val="008C1CB4"/>
    <w:rsid w:val="008C63A7"/>
    <w:rsid w:val="008D0ACD"/>
    <w:rsid w:val="008D4328"/>
    <w:rsid w:val="008D61B5"/>
    <w:rsid w:val="008E733E"/>
    <w:rsid w:val="008F212A"/>
    <w:rsid w:val="008F2142"/>
    <w:rsid w:val="008F2800"/>
    <w:rsid w:val="008F7A94"/>
    <w:rsid w:val="0090262D"/>
    <w:rsid w:val="00906020"/>
    <w:rsid w:val="009143F1"/>
    <w:rsid w:val="009171A5"/>
    <w:rsid w:val="00920E8D"/>
    <w:rsid w:val="00922197"/>
    <w:rsid w:val="00922D55"/>
    <w:rsid w:val="009251EC"/>
    <w:rsid w:val="0092797F"/>
    <w:rsid w:val="00930786"/>
    <w:rsid w:val="0093474A"/>
    <w:rsid w:val="00935DEA"/>
    <w:rsid w:val="0094067B"/>
    <w:rsid w:val="009447DE"/>
    <w:rsid w:val="00945937"/>
    <w:rsid w:val="00950BDB"/>
    <w:rsid w:val="009547CD"/>
    <w:rsid w:val="00955A85"/>
    <w:rsid w:val="00962385"/>
    <w:rsid w:val="009636DD"/>
    <w:rsid w:val="00964E10"/>
    <w:rsid w:val="0098297D"/>
    <w:rsid w:val="00983DEC"/>
    <w:rsid w:val="00984119"/>
    <w:rsid w:val="00984681"/>
    <w:rsid w:val="00984B74"/>
    <w:rsid w:val="00986364"/>
    <w:rsid w:val="00986683"/>
    <w:rsid w:val="00987C08"/>
    <w:rsid w:val="00994A15"/>
    <w:rsid w:val="00995C55"/>
    <w:rsid w:val="009A0649"/>
    <w:rsid w:val="009A081B"/>
    <w:rsid w:val="009A0D68"/>
    <w:rsid w:val="009A2638"/>
    <w:rsid w:val="009A2D39"/>
    <w:rsid w:val="009A33F0"/>
    <w:rsid w:val="009A5621"/>
    <w:rsid w:val="009B1339"/>
    <w:rsid w:val="009B1407"/>
    <w:rsid w:val="009B3A5C"/>
    <w:rsid w:val="009B4169"/>
    <w:rsid w:val="009B44F4"/>
    <w:rsid w:val="009B713A"/>
    <w:rsid w:val="009C1A2E"/>
    <w:rsid w:val="009C4089"/>
    <w:rsid w:val="009C6218"/>
    <w:rsid w:val="009C7267"/>
    <w:rsid w:val="009C72FE"/>
    <w:rsid w:val="009D3902"/>
    <w:rsid w:val="009D4E0C"/>
    <w:rsid w:val="009E0EE0"/>
    <w:rsid w:val="009F02EB"/>
    <w:rsid w:val="009F4960"/>
    <w:rsid w:val="009F64D8"/>
    <w:rsid w:val="009F6B96"/>
    <w:rsid w:val="009F7A37"/>
    <w:rsid w:val="009F7B67"/>
    <w:rsid w:val="00A01FFF"/>
    <w:rsid w:val="00A02ED0"/>
    <w:rsid w:val="00A11E72"/>
    <w:rsid w:val="00A1541E"/>
    <w:rsid w:val="00A16476"/>
    <w:rsid w:val="00A17BDB"/>
    <w:rsid w:val="00A22908"/>
    <w:rsid w:val="00A23B00"/>
    <w:rsid w:val="00A245A7"/>
    <w:rsid w:val="00A26B5E"/>
    <w:rsid w:val="00A276D9"/>
    <w:rsid w:val="00A2786C"/>
    <w:rsid w:val="00A27B24"/>
    <w:rsid w:val="00A3005E"/>
    <w:rsid w:val="00A34F25"/>
    <w:rsid w:val="00A37A86"/>
    <w:rsid w:val="00A42F36"/>
    <w:rsid w:val="00A43A7A"/>
    <w:rsid w:val="00A4400D"/>
    <w:rsid w:val="00A44FD4"/>
    <w:rsid w:val="00A46EBA"/>
    <w:rsid w:val="00A476A9"/>
    <w:rsid w:val="00A510F9"/>
    <w:rsid w:val="00A5179E"/>
    <w:rsid w:val="00A61107"/>
    <w:rsid w:val="00A649E1"/>
    <w:rsid w:val="00A66845"/>
    <w:rsid w:val="00A672A5"/>
    <w:rsid w:val="00A717F7"/>
    <w:rsid w:val="00A72D82"/>
    <w:rsid w:val="00A749B1"/>
    <w:rsid w:val="00A82E8C"/>
    <w:rsid w:val="00A8430F"/>
    <w:rsid w:val="00A84374"/>
    <w:rsid w:val="00A9511F"/>
    <w:rsid w:val="00A9681C"/>
    <w:rsid w:val="00AA0FB7"/>
    <w:rsid w:val="00AA39FC"/>
    <w:rsid w:val="00AC0111"/>
    <w:rsid w:val="00AC33B9"/>
    <w:rsid w:val="00AC4FE5"/>
    <w:rsid w:val="00AC640A"/>
    <w:rsid w:val="00AD0558"/>
    <w:rsid w:val="00AD1BEF"/>
    <w:rsid w:val="00AD1BFD"/>
    <w:rsid w:val="00AD4195"/>
    <w:rsid w:val="00AD5621"/>
    <w:rsid w:val="00AE0090"/>
    <w:rsid w:val="00AE08B4"/>
    <w:rsid w:val="00AE3DF4"/>
    <w:rsid w:val="00AF1B72"/>
    <w:rsid w:val="00B07ADB"/>
    <w:rsid w:val="00B16142"/>
    <w:rsid w:val="00B16CE1"/>
    <w:rsid w:val="00B2190C"/>
    <w:rsid w:val="00B21F85"/>
    <w:rsid w:val="00B259AE"/>
    <w:rsid w:val="00B2759C"/>
    <w:rsid w:val="00B32C98"/>
    <w:rsid w:val="00B3675E"/>
    <w:rsid w:val="00B41044"/>
    <w:rsid w:val="00B4133E"/>
    <w:rsid w:val="00B42A2D"/>
    <w:rsid w:val="00B516DB"/>
    <w:rsid w:val="00B52EEC"/>
    <w:rsid w:val="00B57FAA"/>
    <w:rsid w:val="00B64246"/>
    <w:rsid w:val="00B65B56"/>
    <w:rsid w:val="00B73B30"/>
    <w:rsid w:val="00B83FC5"/>
    <w:rsid w:val="00B847EF"/>
    <w:rsid w:val="00B91C16"/>
    <w:rsid w:val="00B9285A"/>
    <w:rsid w:val="00B97DB6"/>
    <w:rsid w:val="00BB0DD7"/>
    <w:rsid w:val="00BB271A"/>
    <w:rsid w:val="00BB27D3"/>
    <w:rsid w:val="00BB325C"/>
    <w:rsid w:val="00BB4069"/>
    <w:rsid w:val="00BB4414"/>
    <w:rsid w:val="00BB488C"/>
    <w:rsid w:val="00BB48A7"/>
    <w:rsid w:val="00BC31E0"/>
    <w:rsid w:val="00BC3C4B"/>
    <w:rsid w:val="00BC6441"/>
    <w:rsid w:val="00BD052B"/>
    <w:rsid w:val="00BD16B5"/>
    <w:rsid w:val="00BD2985"/>
    <w:rsid w:val="00BD4F54"/>
    <w:rsid w:val="00BD63E7"/>
    <w:rsid w:val="00BF0A24"/>
    <w:rsid w:val="00BF6F65"/>
    <w:rsid w:val="00BF70DB"/>
    <w:rsid w:val="00C0007C"/>
    <w:rsid w:val="00C00466"/>
    <w:rsid w:val="00C0383A"/>
    <w:rsid w:val="00C07079"/>
    <w:rsid w:val="00C076A9"/>
    <w:rsid w:val="00C1158A"/>
    <w:rsid w:val="00C12591"/>
    <w:rsid w:val="00C130B3"/>
    <w:rsid w:val="00C1625B"/>
    <w:rsid w:val="00C17563"/>
    <w:rsid w:val="00C20869"/>
    <w:rsid w:val="00C4243E"/>
    <w:rsid w:val="00C43AB6"/>
    <w:rsid w:val="00C43E73"/>
    <w:rsid w:val="00C4764C"/>
    <w:rsid w:val="00C50660"/>
    <w:rsid w:val="00C544E1"/>
    <w:rsid w:val="00C547F0"/>
    <w:rsid w:val="00C602B8"/>
    <w:rsid w:val="00C6233A"/>
    <w:rsid w:val="00C63A95"/>
    <w:rsid w:val="00C6454A"/>
    <w:rsid w:val="00C66C13"/>
    <w:rsid w:val="00C73E2A"/>
    <w:rsid w:val="00C752C4"/>
    <w:rsid w:val="00C753D8"/>
    <w:rsid w:val="00C824DB"/>
    <w:rsid w:val="00C82B3E"/>
    <w:rsid w:val="00C83D11"/>
    <w:rsid w:val="00C86362"/>
    <w:rsid w:val="00C9078E"/>
    <w:rsid w:val="00C93875"/>
    <w:rsid w:val="00C9680E"/>
    <w:rsid w:val="00CA2B8E"/>
    <w:rsid w:val="00CA5807"/>
    <w:rsid w:val="00CB2472"/>
    <w:rsid w:val="00CB26E2"/>
    <w:rsid w:val="00CB2E4E"/>
    <w:rsid w:val="00CC3ACF"/>
    <w:rsid w:val="00CC6106"/>
    <w:rsid w:val="00CC7CC1"/>
    <w:rsid w:val="00CD4F74"/>
    <w:rsid w:val="00CD53CB"/>
    <w:rsid w:val="00CD6AB1"/>
    <w:rsid w:val="00CD6EAF"/>
    <w:rsid w:val="00CE252C"/>
    <w:rsid w:val="00CE55B7"/>
    <w:rsid w:val="00CE7B52"/>
    <w:rsid w:val="00CF0462"/>
    <w:rsid w:val="00CF1560"/>
    <w:rsid w:val="00CF242A"/>
    <w:rsid w:val="00CF3D2E"/>
    <w:rsid w:val="00D0055C"/>
    <w:rsid w:val="00D05844"/>
    <w:rsid w:val="00D061BB"/>
    <w:rsid w:val="00D1180D"/>
    <w:rsid w:val="00D11834"/>
    <w:rsid w:val="00D152FB"/>
    <w:rsid w:val="00D206BF"/>
    <w:rsid w:val="00D207EA"/>
    <w:rsid w:val="00D2727B"/>
    <w:rsid w:val="00D31010"/>
    <w:rsid w:val="00D35B4C"/>
    <w:rsid w:val="00D36317"/>
    <w:rsid w:val="00D37A65"/>
    <w:rsid w:val="00D37ED5"/>
    <w:rsid w:val="00D40E34"/>
    <w:rsid w:val="00D51491"/>
    <w:rsid w:val="00D549C7"/>
    <w:rsid w:val="00D604F5"/>
    <w:rsid w:val="00D86752"/>
    <w:rsid w:val="00D92BA5"/>
    <w:rsid w:val="00D93A70"/>
    <w:rsid w:val="00D9735C"/>
    <w:rsid w:val="00DA2808"/>
    <w:rsid w:val="00DA4A3B"/>
    <w:rsid w:val="00DA5A47"/>
    <w:rsid w:val="00DB39B5"/>
    <w:rsid w:val="00DB53B7"/>
    <w:rsid w:val="00DB77B2"/>
    <w:rsid w:val="00DC2F22"/>
    <w:rsid w:val="00DC4358"/>
    <w:rsid w:val="00DC6A75"/>
    <w:rsid w:val="00DC792E"/>
    <w:rsid w:val="00DD14BB"/>
    <w:rsid w:val="00DD35DF"/>
    <w:rsid w:val="00DD44FF"/>
    <w:rsid w:val="00DD4DDE"/>
    <w:rsid w:val="00DD71D7"/>
    <w:rsid w:val="00DE2781"/>
    <w:rsid w:val="00DE7A32"/>
    <w:rsid w:val="00DF018D"/>
    <w:rsid w:val="00DF782C"/>
    <w:rsid w:val="00E04374"/>
    <w:rsid w:val="00E07A23"/>
    <w:rsid w:val="00E10CF1"/>
    <w:rsid w:val="00E15203"/>
    <w:rsid w:val="00E216B3"/>
    <w:rsid w:val="00E23555"/>
    <w:rsid w:val="00E25727"/>
    <w:rsid w:val="00E27554"/>
    <w:rsid w:val="00E27A90"/>
    <w:rsid w:val="00E3033F"/>
    <w:rsid w:val="00E317C2"/>
    <w:rsid w:val="00E349CD"/>
    <w:rsid w:val="00E350C4"/>
    <w:rsid w:val="00E3588D"/>
    <w:rsid w:val="00E36DE8"/>
    <w:rsid w:val="00E41E1B"/>
    <w:rsid w:val="00E41E9C"/>
    <w:rsid w:val="00E44859"/>
    <w:rsid w:val="00E479EF"/>
    <w:rsid w:val="00E504F7"/>
    <w:rsid w:val="00E51DF4"/>
    <w:rsid w:val="00E51FC1"/>
    <w:rsid w:val="00E535E4"/>
    <w:rsid w:val="00E61519"/>
    <w:rsid w:val="00E6179D"/>
    <w:rsid w:val="00E676E0"/>
    <w:rsid w:val="00E7275D"/>
    <w:rsid w:val="00E7337B"/>
    <w:rsid w:val="00E82D3D"/>
    <w:rsid w:val="00E86F52"/>
    <w:rsid w:val="00E90F45"/>
    <w:rsid w:val="00E93266"/>
    <w:rsid w:val="00E965B4"/>
    <w:rsid w:val="00EA110C"/>
    <w:rsid w:val="00EA33CD"/>
    <w:rsid w:val="00EA6F6E"/>
    <w:rsid w:val="00EA7D41"/>
    <w:rsid w:val="00EB2D01"/>
    <w:rsid w:val="00EB7AAD"/>
    <w:rsid w:val="00EC1B1B"/>
    <w:rsid w:val="00EC6B7E"/>
    <w:rsid w:val="00EC74B7"/>
    <w:rsid w:val="00EF21BF"/>
    <w:rsid w:val="00EF3EA6"/>
    <w:rsid w:val="00EF6FDF"/>
    <w:rsid w:val="00F00B7C"/>
    <w:rsid w:val="00F01189"/>
    <w:rsid w:val="00F01271"/>
    <w:rsid w:val="00F100EC"/>
    <w:rsid w:val="00F1169F"/>
    <w:rsid w:val="00F1403B"/>
    <w:rsid w:val="00F23785"/>
    <w:rsid w:val="00F26CE5"/>
    <w:rsid w:val="00F30EE8"/>
    <w:rsid w:val="00F333C8"/>
    <w:rsid w:val="00F41722"/>
    <w:rsid w:val="00F44EAA"/>
    <w:rsid w:val="00F4560F"/>
    <w:rsid w:val="00F56428"/>
    <w:rsid w:val="00F665AF"/>
    <w:rsid w:val="00F72355"/>
    <w:rsid w:val="00F73C04"/>
    <w:rsid w:val="00F8373B"/>
    <w:rsid w:val="00F92E97"/>
    <w:rsid w:val="00FA571E"/>
    <w:rsid w:val="00FA6405"/>
    <w:rsid w:val="00FA79CE"/>
    <w:rsid w:val="00FB227F"/>
    <w:rsid w:val="00FB274F"/>
    <w:rsid w:val="00FB710D"/>
    <w:rsid w:val="00FC4706"/>
    <w:rsid w:val="00FC605B"/>
    <w:rsid w:val="00FD0F02"/>
    <w:rsid w:val="00FD1FAD"/>
    <w:rsid w:val="00FE1030"/>
    <w:rsid w:val="00FE3088"/>
    <w:rsid w:val="00FE3923"/>
    <w:rsid w:val="00FE620B"/>
    <w:rsid w:val="00FE645C"/>
    <w:rsid w:val="00FE7A99"/>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0E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E51FC1"/>
    <w:rPr>
      <w:sz w:val="16"/>
      <w:szCs w:val="16"/>
    </w:rPr>
  </w:style>
  <w:style w:type="paragraph" w:styleId="Textocomentario">
    <w:name w:val="annotation text"/>
    <w:basedOn w:val="Normal"/>
    <w:link w:val="TextocomentarioCar"/>
    <w:uiPriority w:val="99"/>
    <w:semiHidden/>
    <w:unhideWhenUsed/>
    <w:rsid w:val="00E51F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51FC1"/>
    <w:rPr>
      <w:sz w:val="20"/>
      <w:szCs w:val="20"/>
    </w:rPr>
  </w:style>
  <w:style w:type="paragraph" w:styleId="Asuntodelcomentario">
    <w:name w:val="annotation subject"/>
    <w:basedOn w:val="Textocomentario"/>
    <w:next w:val="Textocomentario"/>
    <w:link w:val="AsuntodelcomentarioCar"/>
    <w:uiPriority w:val="99"/>
    <w:semiHidden/>
    <w:unhideWhenUsed/>
    <w:rsid w:val="00E51FC1"/>
    <w:rPr>
      <w:b/>
      <w:bCs/>
    </w:rPr>
  </w:style>
  <w:style w:type="character" w:customStyle="1" w:styleId="AsuntodelcomentarioCar">
    <w:name w:val="Asunto del comentario Car"/>
    <w:basedOn w:val="TextocomentarioCar"/>
    <w:link w:val="Asuntodelcomentario"/>
    <w:uiPriority w:val="99"/>
    <w:semiHidden/>
    <w:rsid w:val="00E51F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6A9EC-EE5A-4528-BACE-11DF6D476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5697</Words>
  <Characters>31338</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2019-06-28T20:30:00Z</cp:lastPrinted>
  <dcterms:created xsi:type="dcterms:W3CDTF">2019-07-05T19:52:00Z</dcterms:created>
  <dcterms:modified xsi:type="dcterms:W3CDTF">2019-07-05T19:52:00Z</dcterms:modified>
</cp:coreProperties>
</file>